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F479" w14:textId="77777777" w:rsidR="00C17E73" w:rsidRPr="002B2E80" w:rsidRDefault="00C17E73" w:rsidP="002B2E80">
      <w:pPr>
        <w:rPr>
          <w:rFonts w:ascii="Times New Roman" w:hAnsi="Times New Roman" w:cs="Times New Roman"/>
          <w:b/>
        </w:rPr>
      </w:pPr>
      <w:r w:rsidRPr="002B2E80">
        <w:rPr>
          <w:rFonts w:ascii="Times New Roman" w:hAnsi="Times New Roman" w:cs="Times New Roman"/>
          <w:b/>
        </w:rPr>
        <w:t>Inquiry in Music Education: Concepts and Methods for the Beginning Researcher (2</w:t>
      </w:r>
      <w:r w:rsidRPr="002B2E80">
        <w:rPr>
          <w:rFonts w:ascii="Times New Roman" w:hAnsi="Times New Roman" w:cs="Times New Roman"/>
          <w:b/>
          <w:vertAlign w:val="superscript"/>
        </w:rPr>
        <w:t>nd</w:t>
      </w:r>
      <w:r w:rsidRPr="002B2E80">
        <w:rPr>
          <w:rFonts w:ascii="Times New Roman" w:hAnsi="Times New Roman" w:cs="Times New Roman"/>
          <w:b/>
        </w:rPr>
        <w:t xml:space="preserve"> ed.)</w:t>
      </w:r>
    </w:p>
    <w:p w14:paraId="5E7E8831" w14:textId="77777777" w:rsidR="00C17E73" w:rsidRPr="002B2E80" w:rsidRDefault="00C17E73" w:rsidP="002B2E80">
      <w:pPr>
        <w:rPr>
          <w:rFonts w:ascii="Times New Roman" w:hAnsi="Times New Roman" w:cs="Times New Roman"/>
        </w:rPr>
      </w:pPr>
    </w:p>
    <w:p w14:paraId="465D03AC" w14:textId="7399028B" w:rsidR="008943AB" w:rsidRPr="002B2E80" w:rsidRDefault="00C17E73" w:rsidP="00CD5983">
      <w:pPr>
        <w:pStyle w:val="Normal1"/>
        <w:spacing w:before="0" w:beforeAutospacing="0" w:after="0" w:afterAutospacing="0"/>
        <w:rPr>
          <w:rFonts w:ascii="Times New Roman" w:hAnsi="Times New Roman"/>
        </w:rPr>
      </w:pPr>
      <w:r w:rsidRPr="002B2E80">
        <w:rPr>
          <w:rFonts w:ascii="Times New Roman" w:hAnsi="Times New Roman"/>
          <w:b/>
          <w:bCs/>
          <w:smallCaps/>
        </w:rPr>
        <w:t xml:space="preserve">IME </w:t>
      </w:r>
      <w:r w:rsidR="00CD5983">
        <w:rPr>
          <w:rFonts w:ascii="Times New Roman" w:hAnsi="Times New Roman"/>
          <w:b/>
          <w:bCs/>
          <w:smallCaps/>
        </w:rPr>
        <w:t>Worksheet</w:t>
      </w:r>
      <w:r w:rsidRPr="002B2E80">
        <w:rPr>
          <w:rFonts w:ascii="Times New Roman" w:hAnsi="Times New Roman"/>
          <w:b/>
          <w:bCs/>
          <w:smallCaps/>
        </w:rPr>
        <w:t xml:space="preserve"> 3.</w:t>
      </w:r>
      <w:r w:rsidR="005812AE">
        <w:rPr>
          <w:rFonts w:ascii="Times New Roman" w:hAnsi="Times New Roman"/>
          <w:b/>
          <w:bCs/>
          <w:smallCaps/>
        </w:rPr>
        <w:t>3</w:t>
      </w:r>
      <w:r w:rsidRPr="002B2E80">
        <w:rPr>
          <w:rFonts w:ascii="Times New Roman" w:hAnsi="Times New Roman"/>
          <w:b/>
          <w:bCs/>
          <w:smallCaps/>
        </w:rPr>
        <w:t xml:space="preserve"> </w:t>
      </w:r>
      <w:r w:rsidR="008B4E09" w:rsidRPr="002B2E80">
        <w:rPr>
          <w:rFonts w:ascii="Times New Roman" w:hAnsi="Times New Roman"/>
          <w:b/>
          <w:bCs/>
          <w:smallCaps/>
        </w:rPr>
        <w:t>Purposes and Rationales</w:t>
      </w:r>
    </w:p>
    <w:p w14:paraId="015BDB13" w14:textId="350D2B31" w:rsidR="00CD5983" w:rsidRPr="00CD5983" w:rsidRDefault="00CD5983" w:rsidP="00CD5983">
      <w:pPr>
        <w:pStyle w:val="CommentText"/>
        <w:rPr>
          <w:rFonts w:asciiTheme="majorHAnsi" w:hAnsiTheme="majorHAnsi" w:cstheme="majorHAnsi"/>
          <w:sz w:val="20"/>
          <w:szCs w:val="20"/>
        </w:rPr>
      </w:pPr>
      <w:r w:rsidRPr="00CD5983">
        <w:rPr>
          <w:rStyle w:val="CommentReference"/>
          <w:rFonts w:asciiTheme="majorHAnsi" w:hAnsiTheme="majorHAnsi" w:cstheme="majorHAnsi"/>
          <w:sz w:val="20"/>
          <w:szCs w:val="20"/>
        </w:rPr>
        <w:t/>
      </w:r>
      <w:r w:rsidRPr="00CD5983">
        <w:rPr>
          <w:rFonts w:asciiTheme="majorHAnsi" w:hAnsiTheme="majorHAnsi" w:cstheme="majorHAnsi"/>
          <w:sz w:val="20"/>
          <w:szCs w:val="20"/>
        </w:rPr>
        <w:t>Relate</w:t>
      </w:r>
      <w:r>
        <w:rPr>
          <w:rFonts w:asciiTheme="majorHAnsi" w:hAnsiTheme="majorHAnsi" w:cstheme="majorHAnsi"/>
          <w:sz w:val="20"/>
          <w:szCs w:val="20"/>
        </w:rPr>
        <w:t>s</w:t>
      </w:r>
      <w:r w:rsidRPr="00CD5983">
        <w:rPr>
          <w:rFonts w:asciiTheme="majorHAnsi" w:hAnsiTheme="majorHAnsi" w:cstheme="majorHAnsi"/>
          <w:sz w:val="20"/>
          <w:szCs w:val="20"/>
        </w:rPr>
        <w:t xml:space="preserve"> to </w:t>
      </w:r>
      <w:r w:rsidRPr="00CD5983">
        <w:rPr>
          <w:rFonts w:asciiTheme="majorHAnsi" w:hAnsiTheme="majorHAnsi" w:cstheme="majorHAnsi"/>
          <w:b/>
          <w:bCs/>
          <w:sz w:val="20"/>
          <w:szCs w:val="20"/>
        </w:rPr>
        <w:t>Constructing a Rationale for your Research Purpose</w:t>
      </w:r>
      <w:r w:rsidR="006D49EB" w:rsidRPr="006D49EB">
        <w:rPr>
          <w:rFonts w:asciiTheme="majorHAnsi" w:hAnsiTheme="majorHAnsi" w:cstheme="majorHAnsi"/>
          <w:sz w:val="20"/>
          <w:szCs w:val="20"/>
        </w:rPr>
        <w:t>, p. 61</w:t>
      </w:r>
    </w:p>
    <w:p w14:paraId="7D223033" w14:textId="77777777" w:rsidR="00CD5983" w:rsidRPr="00232018" w:rsidRDefault="00CD5983" w:rsidP="00CD5983">
      <w:pPr>
        <w:pStyle w:val="CommentText"/>
      </w:pPr>
    </w:p>
    <w:p w14:paraId="6A79F283" w14:textId="01A89A1C" w:rsidR="00C17E73" w:rsidRPr="002B2E80" w:rsidRDefault="00C17E73" w:rsidP="002B2E80">
      <w:pPr>
        <w:pStyle w:val="Normal1"/>
        <w:spacing w:before="0" w:beforeAutospacing="0" w:after="0" w:afterAutospacing="0"/>
        <w:rPr>
          <w:rFonts w:ascii="Times New Roman" w:hAnsi="Times New Roman"/>
          <w:b/>
        </w:rPr>
      </w:pPr>
      <w:r w:rsidRPr="002B2E80">
        <w:rPr>
          <w:rFonts w:ascii="Times New Roman" w:hAnsi="Times New Roman"/>
          <w:b/>
        </w:rPr>
        <w:t>Objective</w:t>
      </w:r>
      <w:r w:rsidR="0071427C" w:rsidRPr="002B2E80">
        <w:rPr>
          <w:rFonts w:ascii="Times New Roman" w:hAnsi="Times New Roman"/>
          <w:b/>
        </w:rPr>
        <w:t>s</w:t>
      </w:r>
    </w:p>
    <w:p w14:paraId="34ED1E96" w14:textId="55D1C32B" w:rsidR="00C17E73" w:rsidRPr="002B2E80" w:rsidRDefault="00997667" w:rsidP="002B2E80">
      <w:pPr>
        <w:pStyle w:val="Normal1"/>
        <w:numPr>
          <w:ilvl w:val="0"/>
          <w:numId w:val="2"/>
        </w:numPr>
        <w:spacing w:before="0" w:beforeAutospacing="0" w:after="0" w:afterAutospacing="0"/>
        <w:rPr>
          <w:rFonts w:ascii="Times New Roman" w:hAnsi="Times New Roman"/>
        </w:rPr>
      </w:pPr>
      <w:r w:rsidRPr="002B2E80">
        <w:rPr>
          <w:rFonts w:ascii="Times New Roman" w:hAnsi="Times New Roman"/>
        </w:rPr>
        <w:t xml:space="preserve">Use </w:t>
      </w:r>
      <w:r w:rsidR="00C17E73" w:rsidRPr="002B2E80">
        <w:rPr>
          <w:rFonts w:ascii="Times New Roman" w:hAnsi="Times New Roman"/>
        </w:rPr>
        <w:t>published examples of research rationales developed by graduate students in music education</w:t>
      </w:r>
      <w:r w:rsidRPr="002B2E80">
        <w:rPr>
          <w:rFonts w:ascii="Times New Roman" w:hAnsi="Times New Roman"/>
        </w:rPr>
        <w:t xml:space="preserve"> to</w:t>
      </w:r>
    </w:p>
    <w:p w14:paraId="725E7828" w14:textId="77777777" w:rsidR="006462EA" w:rsidRDefault="006462EA" w:rsidP="002B2E80">
      <w:pPr>
        <w:pStyle w:val="Normal1"/>
        <w:numPr>
          <w:ilvl w:val="1"/>
          <w:numId w:val="2"/>
        </w:numPr>
        <w:spacing w:before="0" w:beforeAutospacing="0" w:after="0" w:afterAutospacing="0"/>
        <w:rPr>
          <w:rFonts w:ascii="Times New Roman" w:hAnsi="Times New Roman"/>
        </w:rPr>
      </w:pPr>
      <w:r w:rsidRPr="002B2E80">
        <w:rPr>
          <w:rFonts w:ascii="Times New Roman" w:hAnsi="Times New Roman"/>
        </w:rPr>
        <w:t>trace lines of reasoning in research rationales</w:t>
      </w:r>
      <w:r>
        <w:rPr>
          <w:rFonts w:ascii="Times New Roman" w:hAnsi="Times New Roman"/>
        </w:rPr>
        <w:t>,</w:t>
      </w:r>
      <w:r w:rsidRPr="002B2E80">
        <w:rPr>
          <w:rFonts w:ascii="Times New Roman" w:hAnsi="Times New Roman"/>
        </w:rPr>
        <w:t xml:space="preserve"> </w:t>
      </w:r>
      <w:r>
        <w:rPr>
          <w:rFonts w:ascii="Times New Roman" w:hAnsi="Times New Roman"/>
        </w:rPr>
        <w:t xml:space="preserve">and </w:t>
      </w:r>
    </w:p>
    <w:p w14:paraId="69DB875A" w14:textId="6CDD1C34" w:rsidR="00997667" w:rsidRPr="002B2E80" w:rsidRDefault="00997667" w:rsidP="006462EA">
      <w:pPr>
        <w:pStyle w:val="Normal1"/>
        <w:numPr>
          <w:ilvl w:val="1"/>
          <w:numId w:val="2"/>
        </w:numPr>
        <w:spacing w:before="0" w:beforeAutospacing="0" w:after="0" w:afterAutospacing="0"/>
        <w:rPr>
          <w:rFonts w:ascii="Times New Roman" w:hAnsi="Times New Roman"/>
        </w:rPr>
      </w:pPr>
      <w:r w:rsidRPr="002B2E80">
        <w:rPr>
          <w:rFonts w:ascii="Times New Roman" w:hAnsi="Times New Roman"/>
        </w:rPr>
        <w:t>examine and compare d</w:t>
      </w:r>
      <w:r w:rsidR="003C2367" w:rsidRPr="002B2E80">
        <w:rPr>
          <w:rFonts w:ascii="Times New Roman" w:hAnsi="Times New Roman"/>
        </w:rPr>
        <w:t xml:space="preserve">ifferent approaches to writing </w:t>
      </w:r>
      <w:r w:rsidRPr="002B2E80">
        <w:rPr>
          <w:rFonts w:ascii="Times New Roman" w:hAnsi="Times New Roman"/>
        </w:rPr>
        <w:t>rationales</w:t>
      </w:r>
      <w:r w:rsidR="006462EA">
        <w:rPr>
          <w:rFonts w:ascii="Times New Roman" w:hAnsi="Times New Roman"/>
        </w:rPr>
        <w:t>;</w:t>
      </w:r>
    </w:p>
    <w:p w14:paraId="0D078D54" w14:textId="5E15B409" w:rsidR="0071427C" w:rsidRPr="002B2E80" w:rsidRDefault="0071427C" w:rsidP="002B2E80">
      <w:pPr>
        <w:pStyle w:val="Normal1"/>
        <w:numPr>
          <w:ilvl w:val="0"/>
          <w:numId w:val="2"/>
        </w:numPr>
        <w:spacing w:before="0" w:beforeAutospacing="0" w:after="0" w:afterAutospacing="0"/>
        <w:rPr>
          <w:rFonts w:ascii="Times New Roman" w:hAnsi="Times New Roman"/>
        </w:rPr>
      </w:pPr>
      <w:r w:rsidRPr="002B2E80">
        <w:rPr>
          <w:rFonts w:ascii="Times New Roman" w:hAnsi="Times New Roman"/>
        </w:rPr>
        <w:t>Practice writing a rationale for a research study.</w:t>
      </w:r>
    </w:p>
    <w:p w14:paraId="58F63961" w14:textId="77777777" w:rsidR="00C17E73" w:rsidRPr="002B2E80" w:rsidRDefault="00C17E73" w:rsidP="002B2E80">
      <w:pPr>
        <w:pStyle w:val="Normal1"/>
        <w:spacing w:before="0" w:beforeAutospacing="0" w:after="0" w:afterAutospacing="0"/>
        <w:rPr>
          <w:rFonts w:ascii="Times New Roman" w:hAnsi="Times New Roman"/>
        </w:rPr>
      </w:pPr>
    </w:p>
    <w:p w14:paraId="79043239" w14:textId="77777777" w:rsidR="00C17E73" w:rsidRPr="002B2E80" w:rsidRDefault="00C17E73" w:rsidP="002B2E80">
      <w:pPr>
        <w:pStyle w:val="Normal1"/>
        <w:spacing w:before="0" w:beforeAutospacing="0" w:after="0" w:afterAutospacing="0"/>
        <w:rPr>
          <w:rFonts w:ascii="Times New Roman" w:hAnsi="Times New Roman"/>
        </w:rPr>
      </w:pPr>
    </w:p>
    <w:p w14:paraId="7962B0BA" w14:textId="5D8B4E3B" w:rsidR="00404469" w:rsidRPr="002B2E80" w:rsidRDefault="00DB0797" w:rsidP="002B2E80">
      <w:pPr>
        <w:rPr>
          <w:rFonts w:ascii="Times New Roman" w:hAnsi="Times New Roman" w:cs="Times New Roman"/>
          <w:b/>
        </w:rPr>
      </w:pPr>
      <w:r w:rsidRPr="002B2E80">
        <w:rPr>
          <w:rFonts w:ascii="Times New Roman" w:hAnsi="Times New Roman" w:cs="Times New Roman"/>
          <w:b/>
        </w:rPr>
        <w:t>Background</w:t>
      </w:r>
    </w:p>
    <w:p w14:paraId="27E00D53" w14:textId="77777777" w:rsidR="00F84C41" w:rsidRDefault="00F84C41" w:rsidP="002B2E80">
      <w:pPr>
        <w:rPr>
          <w:rFonts w:ascii="Times New Roman" w:hAnsi="Times New Roman" w:cs="Times New Roman"/>
        </w:rPr>
      </w:pPr>
      <w:r>
        <w:rPr>
          <w:rFonts w:ascii="Times New Roman" w:hAnsi="Times New Roman" w:cs="Times New Roman"/>
        </w:rPr>
        <w:t>In worksheet 3.2 you began to craft the purpose statement for your research. In this chapter you will begin a similar process as you craft the rationale for your research.</w:t>
      </w:r>
    </w:p>
    <w:p w14:paraId="1F769F0D" w14:textId="77777777" w:rsidR="00F84C41" w:rsidRDefault="00F84C41" w:rsidP="002B2E80">
      <w:pPr>
        <w:rPr>
          <w:rFonts w:ascii="Times New Roman" w:hAnsi="Times New Roman" w:cs="Times New Roman"/>
        </w:rPr>
      </w:pPr>
    </w:p>
    <w:p w14:paraId="5C705C21" w14:textId="194CC4F0" w:rsidR="00DB0797" w:rsidRPr="002B2E80" w:rsidRDefault="00F84C41" w:rsidP="002B2E80">
      <w:pPr>
        <w:rPr>
          <w:rFonts w:ascii="Times New Roman" w:hAnsi="Times New Roman" w:cs="Times New Roman"/>
        </w:rPr>
      </w:pPr>
      <w:r>
        <w:rPr>
          <w:rFonts w:ascii="Times New Roman" w:hAnsi="Times New Roman" w:cs="Times New Roman"/>
        </w:rPr>
        <w:t xml:space="preserve">In </w:t>
      </w:r>
      <w:r w:rsidR="00DB0797" w:rsidRPr="002B2E80">
        <w:rPr>
          <w:rFonts w:ascii="Times New Roman" w:hAnsi="Times New Roman" w:cs="Times New Roman"/>
        </w:rPr>
        <w:t xml:space="preserve">Chapter 3 </w:t>
      </w:r>
      <w:r>
        <w:rPr>
          <w:rFonts w:ascii="Times New Roman" w:hAnsi="Times New Roman" w:cs="Times New Roman"/>
        </w:rPr>
        <w:t xml:space="preserve">we </w:t>
      </w:r>
      <w:r w:rsidR="00DB0797" w:rsidRPr="002B2E80">
        <w:rPr>
          <w:rFonts w:ascii="Times New Roman" w:hAnsi="Times New Roman" w:cs="Times New Roman"/>
        </w:rPr>
        <w:t>suggest</w:t>
      </w:r>
      <w:r w:rsidR="0071427C" w:rsidRPr="002B2E80">
        <w:rPr>
          <w:rFonts w:ascii="Times New Roman" w:hAnsi="Times New Roman" w:cs="Times New Roman"/>
        </w:rPr>
        <w:t xml:space="preserve"> </w:t>
      </w:r>
      <w:r w:rsidR="003C2367" w:rsidRPr="002B2E80">
        <w:rPr>
          <w:rFonts w:ascii="Times New Roman" w:hAnsi="Times New Roman" w:cs="Times New Roman"/>
        </w:rPr>
        <w:t xml:space="preserve">examining </w:t>
      </w:r>
      <w:r>
        <w:rPr>
          <w:rFonts w:ascii="Times New Roman" w:hAnsi="Times New Roman" w:cs="Times New Roman"/>
        </w:rPr>
        <w:t xml:space="preserve">published research rationales to discern two things: </w:t>
      </w:r>
      <w:r w:rsidRPr="002B2E80">
        <w:rPr>
          <w:rFonts w:ascii="Times New Roman" w:hAnsi="Times New Roman" w:cs="Times New Roman"/>
        </w:rPr>
        <w:t xml:space="preserve">the logical structure </w:t>
      </w:r>
      <w:r>
        <w:rPr>
          <w:rFonts w:ascii="Times New Roman" w:hAnsi="Times New Roman" w:cs="Times New Roman"/>
        </w:rPr>
        <w:t xml:space="preserve">that is typical of rationales for different types of research and the </w:t>
      </w:r>
      <w:r w:rsidR="003C2367" w:rsidRPr="002B2E80">
        <w:rPr>
          <w:rFonts w:ascii="Times New Roman" w:hAnsi="Times New Roman" w:cs="Times New Roman"/>
        </w:rPr>
        <w:t xml:space="preserve">ways writers use their </w:t>
      </w:r>
      <w:r>
        <w:rPr>
          <w:rFonts w:ascii="Times New Roman" w:hAnsi="Times New Roman" w:cs="Times New Roman"/>
        </w:rPr>
        <w:t xml:space="preserve">own </w:t>
      </w:r>
      <w:r w:rsidR="003C2367" w:rsidRPr="002B2E80">
        <w:rPr>
          <w:rFonts w:ascii="Times New Roman" w:hAnsi="Times New Roman" w:cs="Times New Roman"/>
        </w:rPr>
        <w:t>voice</w:t>
      </w:r>
      <w:r>
        <w:rPr>
          <w:rFonts w:ascii="Times New Roman" w:hAnsi="Times New Roman" w:cs="Times New Roman"/>
        </w:rPr>
        <w:t>s</w:t>
      </w:r>
      <w:r w:rsidR="003C2367" w:rsidRPr="002B2E80">
        <w:rPr>
          <w:rFonts w:ascii="Times New Roman" w:hAnsi="Times New Roman" w:cs="Times New Roman"/>
        </w:rPr>
        <w:t xml:space="preserve"> </w:t>
      </w:r>
      <w:r>
        <w:rPr>
          <w:rFonts w:ascii="Times New Roman" w:hAnsi="Times New Roman" w:cs="Times New Roman"/>
        </w:rPr>
        <w:t xml:space="preserve">within that structure </w:t>
      </w:r>
      <w:r w:rsidR="003C2367" w:rsidRPr="002B2E80">
        <w:rPr>
          <w:rFonts w:ascii="Times New Roman" w:hAnsi="Times New Roman" w:cs="Times New Roman"/>
        </w:rPr>
        <w:t>to argue for the importance of their study</w:t>
      </w:r>
      <w:r>
        <w:rPr>
          <w:rFonts w:ascii="Times New Roman" w:hAnsi="Times New Roman" w:cs="Times New Roman"/>
        </w:rPr>
        <w:t>. I</w:t>
      </w:r>
      <w:r w:rsidR="003C2367" w:rsidRPr="002B2E80">
        <w:rPr>
          <w:rFonts w:ascii="Times New Roman" w:hAnsi="Times New Roman" w:cs="Times New Roman"/>
        </w:rPr>
        <w:t xml:space="preserve">t can </w:t>
      </w:r>
      <w:r>
        <w:rPr>
          <w:rFonts w:ascii="Times New Roman" w:hAnsi="Times New Roman" w:cs="Times New Roman"/>
        </w:rPr>
        <w:t xml:space="preserve">also </w:t>
      </w:r>
      <w:r w:rsidR="003C2367" w:rsidRPr="002B2E80">
        <w:rPr>
          <w:rFonts w:ascii="Times New Roman" w:hAnsi="Times New Roman" w:cs="Times New Roman"/>
        </w:rPr>
        <w:t xml:space="preserve">be informative to note the differences </w:t>
      </w:r>
      <w:r>
        <w:rPr>
          <w:rFonts w:ascii="Times New Roman" w:hAnsi="Times New Roman" w:cs="Times New Roman"/>
        </w:rPr>
        <w:t>in</w:t>
      </w:r>
      <w:r w:rsidR="003C2367" w:rsidRPr="002B2E80">
        <w:rPr>
          <w:rFonts w:ascii="Times New Roman" w:hAnsi="Times New Roman" w:cs="Times New Roman"/>
        </w:rPr>
        <w:t xml:space="preserve"> rationales written for graduate projects (theses and dissertations) </w:t>
      </w:r>
      <w:r>
        <w:rPr>
          <w:rFonts w:ascii="Times New Roman" w:hAnsi="Times New Roman" w:cs="Times New Roman"/>
        </w:rPr>
        <w:t xml:space="preserve">and </w:t>
      </w:r>
      <w:r w:rsidR="003C2367" w:rsidRPr="002B2E80">
        <w:rPr>
          <w:rFonts w:ascii="Times New Roman" w:hAnsi="Times New Roman" w:cs="Times New Roman"/>
        </w:rPr>
        <w:t xml:space="preserve">those used in scholarly publications. </w:t>
      </w:r>
    </w:p>
    <w:p w14:paraId="15FC832B" w14:textId="77777777" w:rsidR="002B2E80" w:rsidRPr="002B2E80" w:rsidRDefault="002B2E80" w:rsidP="002B2E80">
      <w:pPr>
        <w:rPr>
          <w:rFonts w:ascii="Times New Roman" w:hAnsi="Times New Roman" w:cs="Times New Roman"/>
        </w:rPr>
      </w:pPr>
    </w:p>
    <w:p w14:paraId="1340D37A" w14:textId="74588AC2" w:rsidR="002B2E80" w:rsidRPr="002B2E80" w:rsidRDefault="002B2E80" w:rsidP="002B2E80">
      <w:pPr>
        <w:rPr>
          <w:rFonts w:ascii="Times New Roman" w:hAnsi="Times New Roman" w:cs="Times New Roman"/>
        </w:rPr>
      </w:pPr>
      <w:r w:rsidRPr="002B2E80">
        <w:rPr>
          <w:rFonts w:ascii="Times New Roman" w:hAnsi="Times New Roman" w:cs="Times New Roman"/>
        </w:rPr>
        <w:t>Below is a selection of published rationales for your convenience. Alternatively, you may wish to use rationales from sources that address topics close to your own, such as those used in your literature review.</w:t>
      </w:r>
    </w:p>
    <w:p w14:paraId="4C40FDE1" w14:textId="77777777" w:rsidR="002B2E80" w:rsidRPr="002B2E80" w:rsidRDefault="002B2E80" w:rsidP="002B2E80">
      <w:pPr>
        <w:rPr>
          <w:rFonts w:ascii="Times New Roman" w:hAnsi="Times New Roman" w:cs="Times New Roman"/>
        </w:rPr>
      </w:pPr>
    </w:p>
    <w:p w14:paraId="65A1679C" w14:textId="7522C4B4" w:rsidR="002B2E80" w:rsidRPr="002B2E80" w:rsidRDefault="002B2E80" w:rsidP="002B2E80">
      <w:pPr>
        <w:rPr>
          <w:rFonts w:ascii="Times New Roman" w:hAnsi="Times New Roman" w:cs="Times New Roman"/>
        </w:rPr>
      </w:pPr>
      <w:r w:rsidRPr="053F67F7">
        <w:rPr>
          <w:rFonts w:ascii="Times New Roman" w:hAnsi="Times New Roman" w:cs="Times New Roman"/>
          <w:b/>
          <w:bCs/>
        </w:rPr>
        <w:t>Instructions</w:t>
      </w:r>
      <w:r w:rsidR="00732CBA" w:rsidRPr="053F67F7">
        <w:rPr>
          <w:rFonts w:ascii="Times New Roman" w:hAnsi="Times New Roman" w:cs="Times New Roman"/>
          <w:b/>
          <w:bCs/>
        </w:rPr>
        <w:t xml:space="preserve">: </w:t>
      </w:r>
      <w:r w:rsidRPr="053F67F7">
        <w:rPr>
          <w:rFonts w:ascii="Times New Roman" w:hAnsi="Times New Roman" w:cs="Times New Roman"/>
        </w:rPr>
        <w:t xml:space="preserve">Choose two of the rationales below for comparison. </w:t>
      </w:r>
    </w:p>
    <w:p w14:paraId="44450B05" w14:textId="77777777" w:rsidR="00DB0797" w:rsidRPr="002B2E80" w:rsidRDefault="00DB0797" w:rsidP="002B2E80">
      <w:pPr>
        <w:rPr>
          <w:rFonts w:ascii="Times New Roman" w:hAnsi="Times New Roman" w:cs="Times New Roman"/>
        </w:rPr>
      </w:pPr>
    </w:p>
    <w:p w14:paraId="3B609F5E" w14:textId="77777777" w:rsidR="00DB0797" w:rsidRPr="002B2E80" w:rsidRDefault="00DB0797" w:rsidP="002B2E80">
      <w:pPr>
        <w:rPr>
          <w:rFonts w:ascii="Times New Roman" w:hAnsi="Times New Roman" w:cs="Times New Roman"/>
        </w:rPr>
      </w:pPr>
    </w:p>
    <w:p w14:paraId="5A22C834" w14:textId="77777777" w:rsidR="00404469" w:rsidRPr="002B2E80" w:rsidRDefault="00404469" w:rsidP="006462EA">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Jared R. Rawlings. (2016). Middle School Students’ Perceptions of Bullying. </w:t>
      </w:r>
      <w:r w:rsidRPr="002B2E80">
        <w:rPr>
          <w:rFonts w:ascii="Times New Roman" w:eastAsia="Times New Roman" w:hAnsi="Times New Roman" w:cs="Times New Roman"/>
          <w:i/>
          <w:iCs/>
        </w:rPr>
        <w:t>Bulletin of the Council for Research in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209</w:t>
      </w:r>
      <w:r w:rsidRPr="002B2E80">
        <w:rPr>
          <w:rFonts w:ascii="Times New Roman" w:eastAsia="Times New Roman" w:hAnsi="Times New Roman" w:cs="Times New Roman"/>
        </w:rPr>
        <w:t xml:space="preserve">, 7. </w:t>
      </w:r>
      <w:hyperlink r:id="rId5" w:history="1">
        <w:r w:rsidRPr="002B2E80">
          <w:rPr>
            <w:rFonts w:ascii="Times New Roman" w:eastAsia="Times New Roman" w:hAnsi="Times New Roman" w:cs="Times New Roman"/>
            <w:color w:val="0000FF"/>
            <w:u w:val="single"/>
          </w:rPr>
          <w:t>https://doi.org/10.5406/bulcouresmusedu.209.0007</w:t>
        </w:r>
      </w:hyperlink>
    </w:p>
    <w:p w14:paraId="03675DD1" w14:textId="77777777" w:rsidR="00404469" w:rsidRPr="002B2E80" w:rsidRDefault="00404469" w:rsidP="006462EA">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Purpose</w:t>
      </w:r>
    </w:p>
    <w:p w14:paraId="2F86D61F" w14:textId="77777777" w:rsidR="00404469" w:rsidRPr="002B2E80" w:rsidRDefault="00404469" w:rsidP="006462EA">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 xml:space="preserve">The purpose of this study was to explore middle school band students’ perceptions of bullying behaviors inside and outside of the band classroom. Research questions included the following: </w:t>
      </w:r>
    </w:p>
    <w:p w14:paraId="62D129C4" w14:textId="30F07AD9" w:rsidR="00404469" w:rsidRPr="002B2E80" w:rsidRDefault="00404469" w:rsidP="00B93E8F">
      <w:pPr>
        <w:widowControl w:val="0"/>
        <w:numPr>
          <w:ilvl w:val="0"/>
          <w:numId w:val="1"/>
        </w:numPr>
        <w:tabs>
          <w:tab w:val="left" w:pos="220"/>
          <w:tab w:val="left" w:pos="720"/>
        </w:tabs>
        <w:autoSpaceDE w:val="0"/>
        <w:autoSpaceDN w:val="0"/>
        <w:adjustRightInd w:val="0"/>
        <w:ind w:left="1440" w:hanging="720"/>
        <w:rPr>
          <w:rFonts w:ascii="Times New Roman" w:hAnsi="Times New Roman" w:cs="Times New Roman"/>
          <w:color w:val="000000"/>
        </w:rPr>
      </w:pPr>
      <w:r w:rsidRPr="002B2E80">
        <w:rPr>
          <w:rFonts w:ascii="Times New Roman" w:hAnsi="Times New Roman" w:cs="Times New Roman"/>
          <w:color w:val="000000"/>
        </w:rPr>
        <w:t>What is the frequency of bullying behaviors and peer victimization (</w:t>
      </w:r>
      <w:proofErr w:type="spellStart"/>
      <w:r w:rsidRPr="002B2E80">
        <w:rPr>
          <w:rFonts w:ascii="Times New Roman" w:hAnsi="Times New Roman" w:cs="Times New Roman"/>
          <w:color w:val="000000"/>
        </w:rPr>
        <w:t>physi</w:t>
      </w:r>
      <w:proofErr w:type="spellEnd"/>
      <w:r w:rsidRPr="002B2E80">
        <w:rPr>
          <w:rFonts w:ascii="Times New Roman" w:hAnsi="Times New Roman" w:cs="Times New Roman"/>
          <w:color w:val="000000"/>
        </w:rPr>
        <w:t xml:space="preserve">- </w:t>
      </w:r>
      <w:proofErr w:type="spellStart"/>
      <w:r w:rsidRPr="002B2E80">
        <w:rPr>
          <w:rFonts w:ascii="Times New Roman" w:hAnsi="Times New Roman" w:cs="Times New Roman"/>
          <w:color w:val="000000"/>
        </w:rPr>
        <w:t>cal</w:t>
      </w:r>
      <w:proofErr w:type="spellEnd"/>
      <w:r w:rsidRPr="002B2E80">
        <w:rPr>
          <w:rFonts w:ascii="Times New Roman" w:hAnsi="Times New Roman" w:cs="Times New Roman"/>
          <w:color w:val="000000"/>
        </w:rPr>
        <w:t xml:space="preserve">, verbal, and social aggression) as self-reported by middle school students enrolled in the band class while in the band classroom, during band-related activities, as well as within the school setting? </w:t>
      </w:r>
    </w:p>
    <w:p w14:paraId="0D3C417D" w14:textId="2DA0B62D" w:rsidR="00404469" w:rsidRDefault="00404469" w:rsidP="00B93E8F">
      <w:pPr>
        <w:widowControl w:val="0"/>
        <w:numPr>
          <w:ilvl w:val="0"/>
          <w:numId w:val="1"/>
        </w:numPr>
        <w:tabs>
          <w:tab w:val="left" w:pos="220"/>
          <w:tab w:val="left" w:pos="720"/>
        </w:tabs>
        <w:autoSpaceDE w:val="0"/>
        <w:autoSpaceDN w:val="0"/>
        <w:adjustRightInd w:val="0"/>
        <w:ind w:left="1440" w:hanging="720"/>
        <w:rPr>
          <w:rFonts w:ascii="Times New Roman" w:hAnsi="Times New Roman" w:cs="Times New Roman"/>
          <w:color w:val="000000"/>
        </w:rPr>
      </w:pPr>
      <w:r w:rsidRPr="002B2E80">
        <w:rPr>
          <w:rFonts w:ascii="Times New Roman" w:hAnsi="Times New Roman" w:cs="Times New Roman"/>
          <w:color w:val="000000"/>
        </w:rPr>
        <w:lastRenderedPageBreak/>
        <w:t xml:space="preserve">How do males and females differ in overall terms of reported perpetrating bullying behavior and victimization inside or outside the band classroom, during band class, or in band-related activities? </w:t>
      </w:r>
    </w:p>
    <w:p w14:paraId="0979AC99" w14:textId="77777777" w:rsidR="00B93E8F" w:rsidRPr="002B2E80" w:rsidRDefault="00B93E8F" w:rsidP="00B93E8F">
      <w:pPr>
        <w:widowControl w:val="0"/>
        <w:tabs>
          <w:tab w:val="left" w:pos="220"/>
          <w:tab w:val="left" w:pos="720"/>
        </w:tabs>
        <w:autoSpaceDE w:val="0"/>
        <w:autoSpaceDN w:val="0"/>
        <w:adjustRightInd w:val="0"/>
        <w:rPr>
          <w:rFonts w:ascii="Times New Roman" w:hAnsi="Times New Roman" w:cs="Times New Roman"/>
          <w:color w:val="000000"/>
        </w:rPr>
      </w:pPr>
    </w:p>
    <w:p w14:paraId="5BA9007F" w14:textId="1BDF31AA" w:rsidR="00404469" w:rsidRDefault="00404469" w:rsidP="00B93E8F">
      <w:pPr>
        <w:widowControl w:val="0"/>
        <w:numPr>
          <w:ilvl w:val="0"/>
          <w:numId w:val="1"/>
        </w:numPr>
        <w:tabs>
          <w:tab w:val="left" w:pos="220"/>
          <w:tab w:val="left" w:pos="720"/>
        </w:tabs>
        <w:autoSpaceDE w:val="0"/>
        <w:autoSpaceDN w:val="0"/>
        <w:adjustRightInd w:val="0"/>
        <w:ind w:left="1440" w:hanging="720"/>
        <w:rPr>
          <w:rFonts w:ascii="Times New Roman" w:hAnsi="Times New Roman" w:cs="Times New Roman"/>
          <w:color w:val="000000"/>
        </w:rPr>
      </w:pPr>
      <w:r w:rsidRPr="002B2E80">
        <w:rPr>
          <w:rFonts w:ascii="Times New Roman" w:hAnsi="Times New Roman" w:cs="Times New Roman"/>
          <w:color w:val="000000"/>
        </w:rPr>
        <w:t xml:space="preserve">How do band students from different racial/ethnic groups differ in terms of reported bullying (victimization and aggression) behavior inside and outside of the band classroom? </w:t>
      </w:r>
    </w:p>
    <w:p w14:paraId="5C81168E" w14:textId="77777777" w:rsidR="00B93E8F" w:rsidRPr="002B2E80" w:rsidRDefault="00B93E8F" w:rsidP="00B93E8F">
      <w:pPr>
        <w:widowControl w:val="0"/>
        <w:tabs>
          <w:tab w:val="left" w:pos="220"/>
          <w:tab w:val="left" w:pos="720"/>
        </w:tabs>
        <w:autoSpaceDE w:val="0"/>
        <w:autoSpaceDN w:val="0"/>
        <w:adjustRightInd w:val="0"/>
        <w:rPr>
          <w:rFonts w:ascii="Times New Roman" w:hAnsi="Times New Roman" w:cs="Times New Roman"/>
          <w:color w:val="000000"/>
        </w:rPr>
      </w:pPr>
    </w:p>
    <w:p w14:paraId="7D84E8CA" w14:textId="24194D37" w:rsidR="00404469" w:rsidRPr="002B2E80" w:rsidRDefault="00404469" w:rsidP="00B93E8F">
      <w:pPr>
        <w:widowControl w:val="0"/>
        <w:numPr>
          <w:ilvl w:val="0"/>
          <w:numId w:val="1"/>
        </w:numPr>
        <w:tabs>
          <w:tab w:val="left" w:pos="220"/>
          <w:tab w:val="left" w:pos="720"/>
        </w:tabs>
        <w:autoSpaceDE w:val="0"/>
        <w:autoSpaceDN w:val="0"/>
        <w:adjustRightInd w:val="0"/>
        <w:ind w:left="1440" w:hanging="720"/>
        <w:rPr>
          <w:rFonts w:ascii="Times New Roman" w:hAnsi="Times New Roman" w:cs="Times New Roman"/>
          <w:color w:val="000000"/>
        </w:rPr>
      </w:pPr>
      <w:r w:rsidRPr="002B2E80">
        <w:rPr>
          <w:rFonts w:ascii="Times New Roman" w:hAnsi="Times New Roman" w:cs="Times New Roman"/>
          <w:color w:val="000000"/>
        </w:rPr>
        <w:t>How do band students who play musical instruments stereotypically associated with their gender differ from those who play musical instruments atypically associated with their gender in overall terms of perpetrating bullying behavior and experiencing victimization inside and outside of the band class- room? (p. 10)</w:t>
      </w:r>
    </w:p>
    <w:p w14:paraId="704E792F" w14:textId="77777777" w:rsidR="00B93E8F" w:rsidRDefault="00B93E8F" w:rsidP="006462EA">
      <w:pPr>
        <w:spacing w:line="480" w:lineRule="auto"/>
        <w:ind w:left="1440" w:hanging="720"/>
        <w:rPr>
          <w:rFonts w:ascii="Times New Roman" w:eastAsia="Times New Roman" w:hAnsi="Times New Roman" w:cs="Times New Roman"/>
        </w:rPr>
      </w:pPr>
    </w:p>
    <w:p w14:paraId="6EE399B9" w14:textId="594CBF29" w:rsidR="00404469" w:rsidRPr="002B2E80" w:rsidRDefault="00404469" w:rsidP="006462EA">
      <w:pPr>
        <w:spacing w:line="480" w:lineRule="auto"/>
        <w:ind w:left="1440" w:hanging="720"/>
        <w:rPr>
          <w:rFonts w:ascii="Times New Roman" w:eastAsia="Times New Roman" w:hAnsi="Times New Roman" w:cs="Times New Roman"/>
        </w:rPr>
      </w:pPr>
      <w:r w:rsidRPr="002B2E80">
        <w:rPr>
          <w:rFonts w:ascii="Times New Roman" w:eastAsia="Times New Roman" w:hAnsi="Times New Roman" w:cs="Times New Roman"/>
        </w:rPr>
        <w:t>Rationale</w:t>
      </w:r>
    </w:p>
    <w:p w14:paraId="47D4E1A7" w14:textId="1FE19F43" w:rsidR="003E7E97" w:rsidRPr="002B2E80" w:rsidRDefault="003E7E97" w:rsidP="006462EA">
      <w:pPr>
        <w:widowControl w:val="0"/>
        <w:autoSpaceDE w:val="0"/>
        <w:autoSpaceDN w:val="0"/>
        <w:adjustRightInd w:val="0"/>
        <w:spacing w:after="240" w:line="300" w:lineRule="atLeast"/>
        <w:ind w:left="720"/>
        <w:rPr>
          <w:rFonts w:ascii="Times New Roman" w:hAnsi="Times New Roman" w:cs="Times New Roman"/>
          <w:color w:val="000000"/>
        </w:rPr>
      </w:pPr>
      <w:r w:rsidRPr="42D0B62B">
        <w:rPr>
          <w:rFonts w:ascii="Times New Roman" w:hAnsi="Times New Roman" w:cs="Times New Roman"/>
          <w:color w:val="000000" w:themeColor="text1"/>
        </w:rPr>
        <w:t>Students who are different from the established school ensemble culture, but who still volunteer to join the musical group, may be targets for antisocial-aggressive behaviors from their peers. This type of behavior has been documented in only a few studies involving school ensembles; however, additional</w:t>
      </w:r>
      <w:r w:rsidR="00C17E73" w:rsidRPr="42D0B62B">
        <w:rPr>
          <w:rFonts w:ascii="Times New Roman" w:hAnsi="Times New Roman" w:cs="Times New Roman"/>
          <w:color w:val="000000" w:themeColor="text1"/>
        </w:rPr>
        <w:t xml:space="preserve"> evidence of hazing and harass</w:t>
      </w:r>
      <w:r w:rsidRPr="42D0B62B">
        <w:rPr>
          <w:rFonts w:ascii="Times New Roman" w:hAnsi="Times New Roman" w:cs="Times New Roman"/>
          <w:color w:val="000000" w:themeColor="text1"/>
        </w:rPr>
        <w:t>ment behaviors in collegiate music ensembles exists with late adolescent populations (Alvarez &amp; Brown, 2011; Brinkley, 2014; Carter, 2013; Silveira &amp; Hudson, 2015). With the prevalence of bullying in schools as publicized in modern mainstream media and research studies in music education as well as a growing wealth of empirical research in general education about aggression and bullying (</w:t>
      </w:r>
      <w:proofErr w:type="spellStart"/>
      <w:r w:rsidRPr="42D0B62B">
        <w:rPr>
          <w:rFonts w:ascii="Times New Roman" w:hAnsi="Times New Roman" w:cs="Times New Roman"/>
          <w:color w:val="000000" w:themeColor="text1"/>
        </w:rPr>
        <w:t>Espelage</w:t>
      </w:r>
      <w:proofErr w:type="spellEnd"/>
      <w:r w:rsidRPr="42D0B62B">
        <w:rPr>
          <w:rFonts w:ascii="Times New Roman" w:hAnsi="Times New Roman" w:cs="Times New Roman"/>
          <w:color w:val="000000" w:themeColor="text1"/>
        </w:rPr>
        <w:t xml:space="preserve">, Green, &amp; </w:t>
      </w:r>
      <w:proofErr w:type="spellStart"/>
      <w:r w:rsidRPr="42D0B62B">
        <w:rPr>
          <w:rFonts w:ascii="Times New Roman" w:hAnsi="Times New Roman" w:cs="Times New Roman"/>
          <w:color w:val="000000" w:themeColor="text1"/>
        </w:rPr>
        <w:t>Polanin</w:t>
      </w:r>
      <w:proofErr w:type="spellEnd"/>
      <w:r w:rsidRPr="42D0B62B">
        <w:rPr>
          <w:rFonts w:ascii="Times New Roman" w:hAnsi="Times New Roman" w:cs="Times New Roman"/>
          <w:color w:val="000000" w:themeColor="text1"/>
        </w:rPr>
        <w:t xml:space="preserve">, 2012; </w:t>
      </w:r>
      <w:proofErr w:type="spellStart"/>
      <w:r w:rsidRPr="42D0B62B">
        <w:rPr>
          <w:rFonts w:ascii="Times New Roman" w:hAnsi="Times New Roman" w:cs="Times New Roman"/>
          <w:color w:val="000000" w:themeColor="text1"/>
        </w:rPr>
        <w:t>Espelage</w:t>
      </w:r>
      <w:proofErr w:type="spellEnd"/>
      <w:r w:rsidRPr="42D0B62B">
        <w:rPr>
          <w:rFonts w:ascii="Times New Roman" w:hAnsi="Times New Roman" w:cs="Times New Roman"/>
          <w:color w:val="000000" w:themeColor="text1"/>
        </w:rPr>
        <w:t xml:space="preserve"> &amp; Swearer, 2004, 2010; Mishna, 2012), furth</w:t>
      </w:r>
      <w:r w:rsidR="002B2E80" w:rsidRPr="42D0B62B">
        <w:rPr>
          <w:rFonts w:ascii="Times New Roman" w:hAnsi="Times New Roman" w:cs="Times New Roman"/>
          <w:color w:val="000000" w:themeColor="text1"/>
        </w:rPr>
        <w:t>er studies are needed to under</w:t>
      </w:r>
      <w:r w:rsidRPr="42D0B62B">
        <w:rPr>
          <w:rFonts w:ascii="Times New Roman" w:hAnsi="Times New Roman" w:cs="Times New Roman"/>
          <w:color w:val="000000" w:themeColor="text1"/>
        </w:rPr>
        <w:t>stand bullying from inside the music classroom (Allsup &amp; Shieh, 2012; Hubbs, 2010). (p. 10)</w:t>
      </w:r>
    </w:p>
    <w:p w14:paraId="3F8257E1" w14:textId="77777777" w:rsidR="00123AD0" w:rsidRPr="002B2E80" w:rsidRDefault="00123AD0" w:rsidP="002B2E80">
      <w:pPr>
        <w:widowControl w:val="0"/>
        <w:autoSpaceDE w:val="0"/>
        <w:autoSpaceDN w:val="0"/>
        <w:adjustRightInd w:val="0"/>
        <w:spacing w:after="240" w:line="300" w:lineRule="atLeast"/>
        <w:rPr>
          <w:rFonts w:ascii="Times New Roman" w:hAnsi="Times New Roman" w:cs="Times New Roman"/>
          <w:color w:val="000000"/>
        </w:rPr>
      </w:pPr>
    </w:p>
    <w:p w14:paraId="06723A25" w14:textId="77777777" w:rsidR="00123AD0" w:rsidRPr="002B2E80" w:rsidRDefault="00123AD0" w:rsidP="00732CBA">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Baughman, M. (2017). An Examination of Methods Used to Teach Practice Strategies in the College Voice Studio. </w:t>
      </w:r>
      <w:r w:rsidRPr="002B2E80">
        <w:rPr>
          <w:rFonts w:ascii="Times New Roman" w:eastAsia="Times New Roman" w:hAnsi="Times New Roman" w:cs="Times New Roman"/>
          <w:i/>
          <w:iCs/>
        </w:rPr>
        <w:t>Update: Applications of Research in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35</w:t>
      </w:r>
      <w:r w:rsidRPr="002B2E80">
        <w:rPr>
          <w:rFonts w:ascii="Times New Roman" w:eastAsia="Times New Roman" w:hAnsi="Times New Roman" w:cs="Times New Roman"/>
        </w:rPr>
        <w:t xml:space="preserve">(2), 15–22. </w:t>
      </w:r>
      <w:hyperlink r:id="rId6" w:history="1">
        <w:r w:rsidRPr="002B2E80">
          <w:rPr>
            <w:rStyle w:val="Hyperlink"/>
            <w:rFonts w:ascii="Times New Roman" w:eastAsia="Times New Roman" w:hAnsi="Times New Roman" w:cs="Times New Roman"/>
          </w:rPr>
          <w:t>https://doi.org/10.1177/8755123315593325</w:t>
        </w:r>
      </w:hyperlink>
    </w:p>
    <w:p w14:paraId="672D4407" w14:textId="20174946" w:rsidR="00123AD0" w:rsidRPr="002B2E80" w:rsidRDefault="00123AD0" w:rsidP="006462EA">
      <w:pPr>
        <w:widowControl w:val="0"/>
        <w:autoSpaceDE w:val="0"/>
        <w:autoSpaceDN w:val="0"/>
        <w:adjustRightInd w:val="0"/>
        <w:spacing w:after="240" w:line="320" w:lineRule="atLeast"/>
        <w:ind w:left="720"/>
        <w:rPr>
          <w:rFonts w:ascii="Times New Roman" w:hAnsi="Times New Roman" w:cs="Times New Roman"/>
          <w:color w:val="000000"/>
        </w:rPr>
      </w:pPr>
      <w:r w:rsidRPr="002B2E80">
        <w:rPr>
          <w:rFonts w:ascii="Times New Roman" w:hAnsi="Times New Roman" w:cs="Times New Roman"/>
          <w:color w:val="000000"/>
        </w:rPr>
        <w:t>The purpose of this study was to inform teachers and researchers about the methods used by voice instructors to address practice strategies i</w:t>
      </w:r>
      <w:r w:rsidR="003D38E3" w:rsidRPr="002B2E80">
        <w:rPr>
          <w:rFonts w:ascii="Times New Roman" w:hAnsi="Times New Roman" w:cs="Times New Roman"/>
          <w:color w:val="000000"/>
        </w:rPr>
        <w:t>n college-level studio instruc</w:t>
      </w:r>
      <w:r w:rsidRPr="002B2E80">
        <w:rPr>
          <w:rFonts w:ascii="Times New Roman" w:hAnsi="Times New Roman" w:cs="Times New Roman"/>
          <w:color w:val="000000"/>
        </w:rPr>
        <w:t xml:space="preserve">tion. Descriptive statistics were gathered about current voice teaching methods with the goal of understanding the practice strategies used and valued, the methods used to assess students’ musical achievement, and the role of the teacher in influencing student practice. (p. 16) </w:t>
      </w:r>
    </w:p>
    <w:p w14:paraId="4E97AF49" w14:textId="77777777" w:rsidR="00123AD0" w:rsidRPr="002B2E80" w:rsidRDefault="00123AD0" w:rsidP="006462EA">
      <w:pPr>
        <w:widowControl w:val="0"/>
        <w:autoSpaceDE w:val="0"/>
        <w:autoSpaceDN w:val="0"/>
        <w:adjustRightInd w:val="0"/>
        <w:spacing w:after="240" w:line="320" w:lineRule="atLeast"/>
        <w:ind w:left="720"/>
        <w:rPr>
          <w:rFonts w:ascii="Times New Roman" w:hAnsi="Times New Roman" w:cs="Times New Roman"/>
          <w:color w:val="000000"/>
        </w:rPr>
      </w:pPr>
    </w:p>
    <w:p w14:paraId="2C2C6F31" w14:textId="77777777" w:rsidR="00123AD0" w:rsidRPr="002B2E80" w:rsidRDefault="00123AD0" w:rsidP="006462EA">
      <w:pPr>
        <w:widowControl w:val="0"/>
        <w:autoSpaceDE w:val="0"/>
        <w:autoSpaceDN w:val="0"/>
        <w:adjustRightInd w:val="0"/>
        <w:spacing w:after="240" w:line="320" w:lineRule="atLeast"/>
        <w:ind w:left="720"/>
        <w:rPr>
          <w:rFonts w:ascii="Times New Roman" w:hAnsi="Times New Roman" w:cs="Times New Roman"/>
          <w:color w:val="000000"/>
        </w:rPr>
      </w:pPr>
      <w:r w:rsidRPr="002B2E80">
        <w:rPr>
          <w:rFonts w:ascii="Times New Roman" w:hAnsi="Times New Roman" w:cs="Times New Roman"/>
          <w:color w:val="000000"/>
        </w:rPr>
        <w:lastRenderedPageBreak/>
        <w:t>Rationale</w:t>
      </w:r>
    </w:p>
    <w:p w14:paraId="3FB28551" w14:textId="29CCBACE" w:rsidR="00123AD0" w:rsidRPr="002B2E80" w:rsidRDefault="002B2E80" w:rsidP="006462EA">
      <w:pPr>
        <w:widowControl w:val="0"/>
        <w:autoSpaceDE w:val="0"/>
        <w:autoSpaceDN w:val="0"/>
        <w:adjustRightInd w:val="0"/>
        <w:spacing w:after="240" w:line="320" w:lineRule="atLeast"/>
        <w:ind w:left="720"/>
        <w:rPr>
          <w:rFonts w:ascii="Times New Roman" w:hAnsi="Times New Roman" w:cs="Times New Roman"/>
          <w:color w:val="000000"/>
        </w:rPr>
      </w:pPr>
      <w:r w:rsidRPr="002B2E80">
        <w:rPr>
          <w:rFonts w:ascii="Times New Roman" w:hAnsi="Times New Roman" w:cs="Times New Roman"/>
          <w:color w:val="000000"/>
        </w:rPr>
        <w:t>Knowledge about the prac</w:t>
      </w:r>
      <w:r w:rsidR="00123AD0" w:rsidRPr="002B2E80">
        <w:rPr>
          <w:rFonts w:ascii="Times New Roman" w:hAnsi="Times New Roman" w:cs="Times New Roman"/>
          <w:color w:val="000000"/>
        </w:rPr>
        <w:t>tice habits of vocalists may help voice teachers choose strategies more efficiently and effectively. Voice practice may differ from instrumental practice in terms of s</w:t>
      </w:r>
      <w:r w:rsidRPr="002B2E80">
        <w:rPr>
          <w:rFonts w:ascii="Times New Roman" w:hAnsi="Times New Roman" w:cs="Times New Roman"/>
          <w:color w:val="000000"/>
        </w:rPr>
        <w:t>truc</w:t>
      </w:r>
      <w:r w:rsidR="00123AD0" w:rsidRPr="002B2E80">
        <w:rPr>
          <w:rFonts w:ascii="Times New Roman" w:hAnsi="Times New Roman" w:cs="Times New Roman"/>
          <w:color w:val="000000"/>
        </w:rPr>
        <w:t xml:space="preserve">ture, time spent, or strategies used. It seems that an </w:t>
      </w:r>
      <w:proofErr w:type="spellStart"/>
      <w:r w:rsidR="00123AD0" w:rsidRPr="002B2E80">
        <w:rPr>
          <w:rFonts w:ascii="Times New Roman" w:hAnsi="Times New Roman" w:cs="Times New Roman"/>
          <w:color w:val="000000"/>
        </w:rPr>
        <w:t>inves</w:t>
      </w:r>
      <w:proofErr w:type="spellEnd"/>
      <w:r w:rsidR="00123AD0" w:rsidRPr="002B2E80">
        <w:rPr>
          <w:rFonts w:ascii="Times New Roman" w:hAnsi="Times New Roman" w:cs="Times New Roman"/>
          <w:color w:val="000000"/>
        </w:rPr>
        <w:t xml:space="preserve">- </w:t>
      </w:r>
      <w:proofErr w:type="spellStart"/>
      <w:r w:rsidR="00123AD0" w:rsidRPr="002B2E80">
        <w:rPr>
          <w:rFonts w:ascii="Times New Roman" w:hAnsi="Times New Roman" w:cs="Times New Roman"/>
          <w:color w:val="000000"/>
        </w:rPr>
        <w:t>tigation</w:t>
      </w:r>
      <w:proofErr w:type="spellEnd"/>
      <w:r w:rsidR="00123AD0" w:rsidRPr="002B2E80">
        <w:rPr>
          <w:rFonts w:ascii="Times New Roman" w:hAnsi="Times New Roman" w:cs="Times New Roman"/>
          <w:color w:val="000000"/>
        </w:rPr>
        <w:t xml:space="preserve"> of the current teaching practices of college voice instructors would help fi</w:t>
      </w:r>
      <w:r w:rsidRPr="002B2E80">
        <w:rPr>
          <w:rFonts w:ascii="Times New Roman" w:hAnsi="Times New Roman" w:cs="Times New Roman"/>
          <w:color w:val="000000"/>
        </w:rPr>
        <w:t>ll this research gap. More spe</w:t>
      </w:r>
      <w:r w:rsidR="00123AD0" w:rsidRPr="002B2E80">
        <w:rPr>
          <w:rFonts w:ascii="Times New Roman" w:hAnsi="Times New Roman" w:cs="Times New Roman"/>
          <w:color w:val="000000"/>
        </w:rPr>
        <w:t>cifically, understanding the practice strategies taught, the methods of assessment used, and the value placed on practice strategies may help inform researchers and teachers about vocal practice instruction. These findings have the potential to provide voice instructors with ideas for implementation in their studios and with information for determining how their own instruction of practice strategies compares with those of their peers. (p. 16)</w:t>
      </w:r>
    </w:p>
    <w:p w14:paraId="4132A96C" w14:textId="77777777" w:rsidR="00916A0D" w:rsidRPr="002B2E80" w:rsidRDefault="00916A0D" w:rsidP="002B2E80">
      <w:pPr>
        <w:widowControl w:val="0"/>
        <w:autoSpaceDE w:val="0"/>
        <w:autoSpaceDN w:val="0"/>
        <w:adjustRightInd w:val="0"/>
        <w:spacing w:after="240" w:line="320" w:lineRule="atLeast"/>
        <w:rPr>
          <w:rFonts w:ascii="Times New Roman" w:hAnsi="Times New Roman" w:cs="Times New Roman"/>
          <w:color w:val="000000"/>
        </w:rPr>
      </w:pPr>
    </w:p>
    <w:p w14:paraId="54DC32BD" w14:textId="77777777" w:rsidR="00916A0D" w:rsidRPr="002B2E80" w:rsidRDefault="00916A0D" w:rsidP="00732CBA">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Cronenberg, S. (2017). Making and Receiving: Possibilities for Middle School General Music. </w:t>
      </w:r>
      <w:r w:rsidRPr="002B2E80">
        <w:rPr>
          <w:rFonts w:ascii="Times New Roman" w:eastAsia="Times New Roman" w:hAnsi="Times New Roman" w:cs="Times New Roman"/>
          <w:i/>
          <w:iCs/>
        </w:rPr>
        <w:t>Bulletin of the Council for Research in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210–211</w:t>
      </w:r>
      <w:r w:rsidRPr="002B2E80">
        <w:rPr>
          <w:rFonts w:ascii="Times New Roman" w:eastAsia="Times New Roman" w:hAnsi="Times New Roman" w:cs="Times New Roman"/>
        </w:rPr>
        <w:t xml:space="preserve">, 81–99. </w:t>
      </w:r>
      <w:hyperlink r:id="rId7" w:history="1">
        <w:r w:rsidRPr="002B2E80">
          <w:rPr>
            <w:rStyle w:val="Hyperlink"/>
            <w:rFonts w:ascii="Times New Roman" w:eastAsia="Times New Roman" w:hAnsi="Times New Roman" w:cs="Times New Roman"/>
          </w:rPr>
          <w:t>https://doi.org/10.5406/bulcouresmusedu.210-211.0081</w:t>
        </w:r>
      </w:hyperlink>
    </w:p>
    <w:p w14:paraId="10C308B4" w14:textId="1E936A6F" w:rsidR="00916A0D" w:rsidRPr="002B2E80" w:rsidRDefault="00916A0D" w:rsidP="00235850">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 xml:space="preserve"> Purpose</w:t>
      </w:r>
    </w:p>
    <w:p w14:paraId="54991B8E" w14:textId="2531AD5F" w:rsidR="00916A0D" w:rsidRPr="002B2E80" w:rsidRDefault="00916A0D" w:rsidP="00235850">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 xml:space="preserve">In this study, I present the lived and told stories of two middle school music teachers and in sharing these narratives, highlight the influence of their lived experiences and philosophical principles on their daily implementation of middle school general music. </w:t>
      </w:r>
    </w:p>
    <w:p w14:paraId="2C9759D5" w14:textId="002FA27E" w:rsidR="00B7003B" w:rsidRPr="002B2E80" w:rsidRDefault="00B7003B" w:rsidP="00235850">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Rationale</w:t>
      </w:r>
    </w:p>
    <w:p w14:paraId="455E01CB" w14:textId="114CBFEA" w:rsidR="00B7003B" w:rsidRPr="002B2E80" w:rsidRDefault="00B7003B" w:rsidP="00235850">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t>I use Jorgensen’s dialectic of making and receiving as a framework to address a question Jorgensen (2003) herself asks: “What are the principles by which teachers and their students adjudicate the dialectics they face?” (p. 18). Both Rachel and Beth make choices for their music classrooms guided by specific principles developed throughout their lifetime of musical experiences and by their preparation for and work as music educators. In sharing their practices and experiences, I</w:t>
      </w:r>
      <w:r w:rsidR="003E7E97" w:rsidRPr="002B2E80">
        <w:rPr>
          <w:rFonts w:ascii="Times New Roman" w:hAnsi="Times New Roman" w:cs="Times New Roman"/>
          <w:color w:val="000000"/>
        </w:rPr>
        <w:t xml:space="preserve"> present two teachers who adju</w:t>
      </w:r>
      <w:r w:rsidRPr="002B2E80">
        <w:rPr>
          <w:rFonts w:ascii="Times New Roman" w:hAnsi="Times New Roman" w:cs="Times New Roman"/>
          <w:color w:val="000000"/>
        </w:rPr>
        <w:t>dicate the making and receiving dialectic in ways relatable to many music educators. I place them together in this study not to present two ends of a dichotomy, but rather to place their perspectives in dialogue with each other as well as with the perspectives of those reading. The intention of Jorgensen’s dialectic is to raise issues and generate dialogue, as is my purpose here. (p. 85)</w:t>
      </w:r>
    </w:p>
    <w:p w14:paraId="4F9A6D8C" w14:textId="77777777" w:rsidR="00916A0D" w:rsidRPr="002B2E80" w:rsidRDefault="00916A0D" w:rsidP="00235850">
      <w:pPr>
        <w:widowControl w:val="0"/>
        <w:autoSpaceDE w:val="0"/>
        <w:autoSpaceDN w:val="0"/>
        <w:adjustRightInd w:val="0"/>
        <w:spacing w:after="240" w:line="320" w:lineRule="atLeast"/>
        <w:ind w:left="720"/>
        <w:rPr>
          <w:rFonts w:ascii="Times New Roman" w:hAnsi="Times New Roman" w:cs="Times New Roman"/>
          <w:color w:val="000000"/>
        </w:rPr>
      </w:pPr>
    </w:p>
    <w:p w14:paraId="26E2B240" w14:textId="77777777" w:rsidR="006C518A" w:rsidRPr="002B2E80" w:rsidRDefault="006C518A" w:rsidP="00732CBA">
      <w:pPr>
        <w:spacing w:line="480" w:lineRule="auto"/>
        <w:ind w:left="720" w:hanging="720"/>
        <w:rPr>
          <w:rFonts w:ascii="Times New Roman" w:eastAsia="Times New Roman" w:hAnsi="Times New Roman" w:cs="Times New Roman"/>
        </w:rPr>
      </w:pPr>
      <w:proofErr w:type="spellStart"/>
      <w:r w:rsidRPr="002B2E80">
        <w:rPr>
          <w:rFonts w:ascii="Times New Roman" w:eastAsia="Times New Roman" w:hAnsi="Times New Roman" w:cs="Times New Roman"/>
        </w:rPr>
        <w:lastRenderedPageBreak/>
        <w:t>Cayari</w:t>
      </w:r>
      <w:proofErr w:type="spellEnd"/>
      <w:r w:rsidRPr="002B2E80">
        <w:rPr>
          <w:rFonts w:ascii="Times New Roman" w:eastAsia="Times New Roman" w:hAnsi="Times New Roman" w:cs="Times New Roman"/>
        </w:rPr>
        <w:t xml:space="preserve">, C. (2018). Connecting music education and virtual performance practices from YouTube. </w:t>
      </w:r>
      <w:r w:rsidRPr="002B2E80">
        <w:rPr>
          <w:rFonts w:ascii="Times New Roman" w:eastAsia="Times New Roman" w:hAnsi="Times New Roman" w:cs="Times New Roman"/>
          <w:i/>
          <w:iCs/>
        </w:rPr>
        <w:t>Music Education Research</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20</w:t>
      </w:r>
      <w:r w:rsidRPr="002B2E80">
        <w:rPr>
          <w:rFonts w:ascii="Times New Roman" w:eastAsia="Times New Roman" w:hAnsi="Times New Roman" w:cs="Times New Roman"/>
        </w:rPr>
        <w:t xml:space="preserve">(3), 360–376. </w:t>
      </w:r>
      <w:hyperlink r:id="rId8" w:history="1">
        <w:r w:rsidRPr="002B2E80">
          <w:rPr>
            <w:rStyle w:val="Hyperlink"/>
            <w:rFonts w:ascii="Times New Roman" w:eastAsia="Times New Roman" w:hAnsi="Times New Roman" w:cs="Times New Roman"/>
          </w:rPr>
          <w:t>https://doi.org/10.1080/14613808.2017.1383374</w:t>
        </w:r>
      </w:hyperlink>
    </w:p>
    <w:p w14:paraId="5CB6F125" w14:textId="1E282A22" w:rsidR="006C518A" w:rsidRPr="002B2E80" w:rsidRDefault="006C518A" w:rsidP="002B2E80">
      <w:pPr>
        <w:widowControl w:val="0"/>
        <w:autoSpaceDE w:val="0"/>
        <w:autoSpaceDN w:val="0"/>
        <w:adjustRightInd w:val="0"/>
        <w:spacing w:after="240" w:line="300" w:lineRule="atLeast"/>
        <w:rPr>
          <w:rFonts w:ascii="Times New Roman" w:hAnsi="Times New Roman" w:cs="Times New Roman"/>
          <w:color w:val="000000"/>
        </w:rPr>
      </w:pPr>
      <w:r w:rsidRPr="002B2E80">
        <w:rPr>
          <w:rFonts w:ascii="Times New Roman" w:hAnsi="Times New Roman" w:cs="Times New Roman"/>
          <w:color w:val="000000"/>
        </w:rPr>
        <w:t>The ubiquity of mediated and recorded music practices beckons educators to ask: How can synchronic performance ensemble participants expand their approaches beyond physical rehearsal rooms to mediated spaces? In what ways can the traditions of performance-based ensembles be connected to the practices of recording and digital artists? How might the practices that are part of synchronic ensembles offer support to mediated creation? This study explores the virtual ensemble, an emergent mediated performance practice that has become popular among classical and popular musicians by enmeshing modern technologies with aspects of synchronic, space-specific performance that exists at one point in time, and how the practice might answer these questions. (p. 361)</w:t>
      </w:r>
    </w:p>
    <w:p w14:paraId="762C5AA7" w14:textId="52AABC7E" w:rsidR="006C518A" w:rsidRPr="002B2E80" w:rsidRDefault="006C518A" w:rsidP="002B2E80">
      <w:pPr>
        <w:widowControl w:val="0"/>
        <w:autoSpaceDE w:val="0"/>
        <w:autoSpaceDN w:val="0"/>
        <w:adjustRightInd w:val="0"/>
        <w:spacing w:after="240" w:line="300" w:lineRule="atLeast"/>
        <w:rPr>
          <w:rFonts w:ascii="Times New Roman" w:hAnsi="Times New Roman" w:cs="Times New Roman"/>
          <w:color w:val="000000"/>
        </w:rPr>
      </w:pPr>
      <w:r w:rsidRPr="002B2E80">
        <w:rPr>
          <w:rFonts w:ascii="Times New Roman" w:hAnsi="Times New Roman" w:cs="Times New Roman"/>
          <w:color w:val="000000"/>
        </w:rPr>
        <w:t>Calls this “purpose and issues” (I call it “rationale”):</w:t>
      </w:r>
    </w:p>
    <w:p w14:paraId="4F0EF057" w14:textId="76220009" w:rsidR="006C518A" w:rsidRPr="002B2E80" w:rsidRDefault="006C518A" w:rsidP="002B2E80">
      <w:pPr>
        <w:widowControl w:val="0"/>
        <w:autoSpaceDE w:val="0"/>
        <w:autoSpaceDN w:val="0"/>
        <w:adjustRightInd w:val="0"/>
        <w:spacing w:after="240" w:line="300" w:lineRule="atLeast"/>
        <w:rPr>
          <w:rFonts w:ascii="Times New Roman" w:hAnsi="Times New Roman" w:cs="Times New Roman"/>
          <w:color w:val="000000"/>
        </w:rPr>
      </w:pPr>
      <w:r w:rsidRPr="002B2E80">
        <w:rPr>
          <w:rFonts w:ascii="Times New Roman" w:hAnsi="Times New Roman" w:cs="Times New Roman"/>
          <w:color w:val="000000"/>
        </w:rPr>
        <w:t xml:space="preserve">By blending participatory media and social media musicianship with traditional music education values, ‘teachers are looking to make in-school musical experiences </w:t>
      </w:r>
      <w:r w:rsidR="00DB0797" w:rsidRPr="002B2E80">
        <w:rPr>
          <w:rFonts w:ascii="Times New Roman" w:hAnsi="Times New Roman" w:cs="Times New Roman"/>
          <w:color w:val="000000"/>
        </w:rPr>
        <w:t>more like their students’ musi</w:t>
      </w:r>
      <w:r w:rsidRPr="002B2E80">
        <w:rPr>
          <w:rFonts w:ascii="Times New Roman" w:hAnsi="Times New Roman" w:cs="Times New Roman"/>
          <w:color w:val="000000"/>
        </w:rPr>
        <w:t>cal experiences outside school by drawing on the music technologies that are an integral part of youth culture’ (</w:t>
      </w:r>
      <w:proofErr w:type="spellStart"/>
      <w:r w:rsidRPr="002B2E80">
        <w:rPr>
          <w:rFonts w:ascii="Times New Roman" w:hAnsi="Times New Roman" w:cs="Times New Roman"/>
          <w:color w:val="000000"/>
        </w:rPr>
        <w:t>Ruthmann</w:t>
      </w:r>
      <w:proofErr w:type="spellEnd"/>
      <w:r w:rsidRPr="002B2E80">
        <w:rPr>
          <w:rFonts w:ascii="Times New Roman" w:hAnsi="Times New Roman" w:cs="Times New Roman"/>
          <w:color w:val="000000"/>
        </w:rPr>
        <w:t xml:space="preserve"> and Hebert </w:t>
      </w:r>
      <w:r w:rsidRPr="002B2E80">
        <w:rPr>
          <w:rFonts w:ascii="Times New Roman" w:hAnsi="Times New Roman" w:cs="Times New Roman"/>
          <w:color w:val="000071"/>
        </w:rPr>
        <w:t>2012</w:t>
      </w:r>
      <w:r w:rsidRPr="002B2E80">
        <w:rPr>
          <w:rFonts w:ascii="Times New Roman" w:hAnsi="Times New Roman" w:cs="Times New Roman"/>
          <w:color w:val="000000"/>
        </w:rPr>
        <w:t>, 577). While the students in my classroom from the aforementioned study (</w:t>
      </w:r>
      <w:proofErr w:type="spellStart"/>
      <w:r w:rsidRPr="002B2E80">
        <w:rPr>
          <w:rFonts w:ascii="Times New Roman" w:hAnsi="Times New Roman" w:cs="Times New Roman"/>
          <w:color w:val="000000"/>
        </w:rPr>
        <w:t>Cayari</w:t>
      </w:r>
      <w:proofErr w:type="spellEnd"/>
      <w:r w:rsidRPr="002B2E80">
        <w:rPr>
          <w:rFonts w:ascii="Times New Roman" w:hAnsi="Times New Roman" w:cs="Times New Roman"/>
          <w:color w:val="000000"/>
        </w:rPr>
        <w:t xml:space="preserve"> </w:t>
      </w:r>
      <w:r w:rsidRPr="002B2E80">
        <w:rPr>
          <w:rFonts w:ascii="Times New Roman" w:hAnsi="Times New Roman" w:cs="Times New Roman"/>
          <w:color w:val="000071"/>
        </w:rPr>
        <w:t>2015</w:t>
      </w:r>
      <w:r w:rsidRPr="002B2E80">
        <w:rPr>
          <w:rFonts w:ascii="Times New Roman" w:hAnsi="Times New Roman" w:cs="Times New Roman"/>
          <w:color w:val="000000"/>
        </w:rPr>
        <w:t>) had largely positive experiences with making music videos on their own, evidence of successful participatory culture practices</w:t>
      </w:r>
      <w:r w:rsidR="00B7003B" w:rsidRPr="002B2E80">
        <w:rPr>
          <w:rFonts w:ascii="Times New Roman" w:hAnsi="Times New Roman" w:cs="Times New Roman"/>
          <w:color w:val="000000"/>
        </w:rPr>
        <w:t xml:space="preserve"> and examples of effective pro</w:t>
      </w:r>
      <w:r w:rsidRPr="002B2E80">
        <w:rPr>
          <w:rFonts w:ascii="Times New Roman" w:hAnsi="Times New Roman" w:cs="Times New Roman"/>
          <w:color w:val="000000"/>
        </w:rPr>
        <w:t xml:space="preserve">jects remain mostly </w:t>
      </w:r>
      <w:proofErr w:type="spellStart"/>
      <w:r w:rsidRPr="002B2E80">
        <w:rPr>
          <w:rFonts w:ascii="Times New Roman" w:hAnsi="Times New Roman" w:cs="Times New Roman"/>
          <w:color w:val="000000"/>
        </w:rPr>
        <w:t>localised</w:t>
      </w:r>
      <w:proofErr w:type="spellEnd"/>
      <w:r w:rsidRPr="002B2E80">
        <w:rPr>
          <w:rFonts w:ascii="Times New Roman" w:hAnsi="Times New Roman" w:cs="Times New Roman"/>
          <w:color w:val="000000"/>
        </w:rPr>
        <w:t xml:space="preserve"> in a handful of classrooms led by educators who are willing to take the risk to try something that may seem novel in music education. A major issue is that music educators do not know how to translate relevant and successful participatory culture practices to for- mal instruction. Research may be able to aid in this translation and help music educators develop curricula that incorporate virtual music making practices. By exploring the way virtual music makers create and produce their art, this study asks: What skills acq</w:t>
      </w:r>
      <w:r w:rsidR="002B2E80" w:rsidRPr="002B2E80">
        <w:rPr>
          <w:rFonts w:ascii="Times New Roman" w:hAnsi="Times New Roman" w:cs="Times New Roman"/>
          <w:color w:val="000000"/>
        </w:rPr>
        <w:t>uired in music education trans</w:t>
      </w:r>
      <w:r w:rsidRPr="002B2E80">
        <w:rPr>
          <w:rFonts w:ascii="Times New Roman" w:hAnsi="Times New Roman" w:cs="Times New Roman"/>
          <w:color w:val="000000"/>
        </w:rPr>
        <w:t xml:space="preserve">late to the creation of virtual ensembles? and how might musicians expand their formal education to become successful music creators and producers on social media websites? By understanding these questions, I hope to provide educators with a study that can aid in the development of instructional methods designed to foster the skills their students need to create virtual performances. (p. 362) </w:t>
      </w:r>
    </w:p>
    <w:p w14:paraId="53519898" w14:textId="77777777" w:rsidR="00B32EE5" w:rsidRPr="002B2E80" w:rsidRDefault="00B32EE5" w:rsidP="002B2E80">
      <w:pPr>
        <w:widowControl w:val="0"/>
        <w:autoSpaceDE w:val="0"/>
        <w:autoSpaceDN w:val="0"/>
        <w:adjustRightInd w:val="0"/>
        <w:spacing w:after="240" w:line="300" w:lineRule="atLeast"/>
        <w:rPr>
          <w:rFonts w:ascii="Times New Roman" w:hAnsi="Times New Roman" w:cs="Times New Roman"/>
          <w:color w:val="000000"/>
        </w:rPr>
      </w:pPr>
    </w:p>
    <w:p w14:paraId="3196BA75" w14:textId="77777777" w:rsidR="00B32EE5" w:rsidRPr="002B2E80" w:rsidRDefault="00B32EE5" w:rsidP="00732CBA">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Meissner, H., &amp; </w:t>
      </w:r>
      <w:proofErr w:type="spellStart"/>
      <w:r w:rsidRPr="002B2E80">
        <w:rPr>
          <w:rFonts w:ascii="Times New Roman" w:eastAsia="Times New Roman" w:hAnsi="Times New Roman" w:cs="Times New Roman"/>
        </w:rPr>
        <w:t>Timmers</w:t>
      </w:r>
      <w:proofErr w:type="spellEnd"/>
      <w:r w:rsidRPr="002B2E80">
        <w:rPr>
          <w:rFonts w:ascii="Times New Roman" w:eastAsia="Times New Roman" w:hAnsi="Times New Roman" w:cs="Times New Roman"/>
        </w:rPr>
        <w:t xml:space="preserve">, R. (2019). Teaching young </w:t>
      </w:r>
      <w:proofErr w:type="gramStart"/>
      <w:r w:rsidRPr="002B2E80">
        <w:rPr>
          <w:rFonts w:ascii="Times New Roman" w:eastAsia="Times New Roman" w:hAnsi="Times New Roman" w:cs="Times New Roman"/>
        </w:rPr>
        <w:t>musicians</w:t>
      </w:r>
      <w:proofErr w:type="gramEnd"/>
      <w:r w:rsidRPr="002B2E80">
        <w:rPr>
          <w:rFonts w:ascii="Times New Roman" w:eastAsia="Times New Roman" w:hAnsi="Times New Roman" w:cs="Times New Roman"/>
        </w:rPr>
        <w:t xml:space="preserve"> expressive performance: An experimental study. </w:t>
      </w:r>
      <w:r w:rsidRPr="002B2E80">
        <w:rPr>
          <w:rFonts w:ascii="Times New Roman" w:eastAsia="Times New Roman" w:hAnsi="Times New Roman" w:cs="Times New Roman"/>
          <w:i/>
          <w:iCs/>
        </w:rPr>
        <w:t>Music Education Research</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21</w:t>
      </w:r>
      <w:r w:rsidRPr="002B2E80">
        <w:rPr>
          <w:rFonts w:ascii="Times New Roman" w:eastAsia="Times New Roman" w:hAnsi="Times New Roman" w:cs="Times New Roman"/>
        </w:rPr>
        <w:t xml:space="preserve">(1), 20–39. </w:t>
      </w:r>
      <w:hyperlink r:id="rId9" w:history="1">
        <w:r w:rsidRPr="002B2E80">
          <w:rPr>
            <w:rStyle w:val="Hyperlink"/>
            <w:rFonts w:ascii="Times New Roman" w:eastAsia="Times New Roman" w:hAnsi="Times New Roman" w:cs="Times New Roman"/>
          </w:rPr>
          <w:t>https://doi.org/10.1080/14613808.2018.1465031</w:t>
        </w:r>
      </w:hyperlink>
    </w:p>
    <w:p w14:paraId="4DEB4149" w14:textId="77777777" w:rsidR="00B32EE5" w:rsidRPr="002B2E80" w:rsidRDefault="00B32EE5" w:rsidP="00235850">
      <w:pPr>
        <w:widowControl w:val="0"/>
        <w:autoSpaceDE w:val="0"/>
        <w:autoSpaceDN w:val="0"/>
        <w:adjustRightInd w:val="0"/>
        <w:spacing w:after="240" w:line="300" w:lineRule="atLeast"/>
        <w:ind w:left="720"/>
        <w:rPr>
          <w:rFonts w:ascii="Times New Roman" w:hAnsi="Times New Roman" w:cs="Times New Roman"/>
          <w:color w:val="000000"/>
        </w:rPr>
      </w:pPr>
      <w:r w:rsidRPr="002B2E80">
        <w:rPr>
          <w:rFonts w:ascii="Times New Roman" w:hAnsi="Times New Roman" w:cs="Times New Roman"/>
          <w:color w:val="000000"/>
        </w:rPr>
        <w:lastRenderedPageBreak/>
        <w:t>Purpose</w:t>
      </w:r>
    </w:p>
    <w:p w14:paraId="5895ED43" w14:textId="05707890" w:rsidR="00B32EE5" w:rsidRPr="002B2E80" w:rsidRDefault="00B32EE5" w:rsidP="00235850">
      <w:pPr>
        <w:ind w:left="720"/>
        <w:rPr>
          <w:rFonts w:ascii="Times New Roman" w:eastAsia="Times New Roman" w:hAnsi="Times New Roman" w:cs="Times New Roman"/>
        </w:rPr>
      </w:pPr>
      <w:r w:rsidRPr="002B2E80">
        <w:rPr>
          <w:rFonts w:ascii="Times New Roman" w:eastAsia="Times New Roman" w:hAnsi="Times New Roman" w:cs="Times New Roman"/>
        </w:rPr>
        <w:t>This study is the first in a larger project that aims to develop and test instructional strategies for facilitating pupils' learning of expressive performance of Western classical music. </w:t>
      </w:r>
    </w:p>
    <w:p w14:paraId="4FFB6678" w14:textId="77777777" w:rsidR="00235850" w:rsidRDefault="00235850" w:rsidP="00235850">
      <w:pPr>
        <w:widowControl w:val="0"/>
        <w:autoSpaceDE w:val="0"/>
        <w:autoSpaceDN w:val="0"/>
        <w:adjustRightInd w:val="0"/>
        <w:spacing w:after="240" w:line="300" w:lineRule="atLeast"/>
        <w:ind w:left="720"/>
        <w:rPr>
          <w:rFonts w:ascii="Times New Roman" w:hAnsi="Times New Roman" w:cs="Times New Roman"/>
        </w:rPr>
      </w:pPr>
    </w:p>
    <w:p w14:paraId="7C57E7AA" w14:textId="28D00924" w:rsidR="00B32EE5" w:rsidRPr="002B2E80" w:rsidRDefault="00B32EE5" w:rsidP="00235850">
      <w:pPr>
        <w:widowControl w:val="0"/>
        <w:autoSpaceDE w:val="0"/>
        <w:autoSpaceDN w:val="0"/>
        <w:adjustRightInd w:val="0"/>
        <w:spacing w:after="240" w:line="300" w:lineRule="atLeast"/>
        <w:ind w:left="720"/>
        <w:rPr>
          <w:rFonts w:ascii="Times New Roman" w:hAnsi="Times New Roman" w:cs="Times New Roman"/>
        </w:rPr>
      </w:pPr>
      <w:r w:rsidRPr="002B2E80">
        <w:rPr>
          <w:rFonts w:ascii="Times New Roman" w:hAnsi="Times New Roman" w:cs="Times New Roman"/>
        </w:rPr>
        <w:t>Rationale</w:t>
      </w:r>
    </w:p>
    <w:p w14:paraId="11809976" w14:textId="64B9EDC6" w:rsidR="00B32EE5" w:rsidRPr="002B2E80" w:rsidRDefault="00B32EE5" w:rsidP="00235850">
      <w:pPr>
        <w:ind w:left="720"/>
        <w:rPr>
          <w:rFonts w:ascii="Times New Roman" w:eastAsia="Times New Roman" w:hAnsi="Times New Roman" w:cs="Times New Roman"/>
        </w:rPr>
      </w:pPr>
      <w:r w:rsidRPr="002B2E80">
        <w:rPr>
          <w:rFonts w:ascii="Times New Roman" w:eastAsia="Times New Roman" w:hAnsi="Times New Roman" w:cs="Times New Roman"/>
        </w:rPr>
        <w:t xml:space="preserve">Although several studies have investigated strategies for teaching tertiary students and </w:t>
      </w:r>
      <w:proofErr w:type="gramStart"/>
      <w:r w:rsidRPr="002B2E80">
        <w:rPr>
          <w:rFonts w:ascii="Times New Roman" w:eastAsia="Times New Roman" w:hAnsi="Times New Roman" w:cs="Times New Roman"/>
        </w:rPr>
        <w:t>adults</w:t>
      </w:r>
      <w:proofErr w:type="gramEnd"/>
      <w:r w:rsidRPr="002B2E80">
        <w:rPr>
          <w:rFonts w:ascii="Times New Roman" w:eastAsia="Times New Roman" w:hAnsi="Times New Roman" w:cs="Times New Roman"/>
        </w:rPr>
        <w:t xml:space="preserve"> performance expression (e.g. </w:t>
      </w:r>
      <w:proofErr w:type="spellStart"/>
      <w:r w:rsidRPr="002B2E80">
        <w:rPr>
          <w:rFonts w:ascii="Times New Roman" w:eastAsia="Times New Roman" w:hAnsi="Times New Roman" w:cs="Times New Roman"/>
        </w:rPr>
        <w:t>Lisboa</w:t>
      </w:r>
      <w:proofErr w:type="spellEnd"/>
      <w:r w:rsidRPr="002B2E80">
        <w:rPr>
          <w:rFonts w:ascii="Times New Roman" w:eastAsia="Times New Roman" w:hAnsi="Times New Roman" w:cs="Times New Roman"/>
        </w:rPr>
        <w:t xml:space="preserve"> et al. 2005; Persson 1994, 1996; Woody 2000, 2001, 2002a, 2002b, 2003, 2006a, 2006b), little is known about effective strategies for teaching primary and secondary school pupils expressive performance. It is important to develop a systematic pedagogy for facilitating pupils' learning of expressiveness (see </w:t>
      </w:r>
      <w:proofErr w:type="spellStart"/>
      <w:r w:rsidRPr="002B2E80">
        <w:rPr>
          <w:rFonts w:ascii="Times New Roman" w:eastAsia="Times New Roman" w:hAnsi="Times New Roman" w:cs="Times New Roman"/>
        </w:rPr>
        <w:t>Laukka</w:t>
      </w:r>
      <w:proofErr w:type="spellEnd"/>
      <w:r w:rsidRPr="002B2E80">
        <w:rPr>
          <w:rFonts w:ascii="Times New Roman" w:eastAsia="Times New Roman" w:hAnsi="Times New Roman" w:cs="Times New Roman"/>
        </w:rPr>
        <w:t xml:space="preserve"> 2004; </w:t>
      </w:r>
      <w:proofErr w:type="spellStart"/>
      <w:r w:rsidRPr="002B2E80">
        <w:rPr>
          <w:rFonts w:ascii="Times New Roman" w:eastAsia="Times New Roman" w:hAnsi="Times New Roman" w:cs="Times New Roman"/>
        </w:rPr>
        <w:t>Williamon</w:t>
      </w:r>
      <w:proofErr w:type="spellEnd"/>
      <w:r w:rsidRPr="002B2E80">
        <w:rPr>
          <w:rFonts w:ascii="Times New Roman" w:eastAsia="Times New Roman" w:hAnsi="Times New Roman" w:cs="Times New Roman"/>
        </w:rPr>
        <w:t xml:space="preserve"> 2014; Woody 2000) and the reported study has been designed to contribute towards this goal. </w:t>
      </w:r>
      <w:r w:rsidR="00235850">
        <w:rPr>
          <w:rFonts w:ascii="Times New Roman" w:eastAsia="Times New Roman" w:hAnsi="Times New Roman" w:cs="Times New Roman"/>
        </w:rPr>
        <w:t>(</w:t>
      </w:r>
      <w:r w:rsidRPr="002B2E80">
        <w:rPr>
          <w:rFonts w:ascii="Times New Roman" w:eastAsia="Times New Roman" w:hAnsi="Times New Roman" w:cs="Times New Roman"/>
        </w:rPr>
        <w:t>Para 1</w:t>
      </w:r>
      <w:r w:rsidR="00235850">
        <w:rPr>
          <w:rFonts w:ascii="Times New Roman" w:eastAsia="Times New Roman" w:hAnsi="Times New Roman" w:cs="Times New Roman"/>
        </w:rPr>
        <w:t>)</w:t>
      </w:r>
    </w:p>
    <w:p w14:paraId="535F6CE7" w14:textId="77777777" w:rsidR="00B32EE5" w:rsidRPr="002B2E80" w:rsidRDefault="00B32EE5" w:rsidP="002B2E80">
      <w:pPr>
        <w:widowControl w:val="0"/>
        <w:autoSpaceDE w:val="0"/>
        <w:autoSpaceDN w:val="0"/>
        <w:adjustRightInd w:val="0"/>
        <w:spacing w:after="240" w:line="300" w:lineRule="atLeast"/>
        <w:rPr>
          <w:rFonts w:ascii="Times New Roman" w:hAnsi="Times New Roman" w:cs="Times New Roman"/>
        </w:rPr>
      </w:pPr>
    </w:p>
    <w:p w14:paraId="15B38647" w14:textId="77777777" w:rsidR="00CD6567" w:rsidRPr="002B2E80" w:rsidRDefault="00CD6567" w:rsidP="00235850">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Meissner, H., </w:t>
      </w:r>
      <w:proofErr w:type="spellStart"/>
      <w:r w:rsidRPr="002B2E80">
        <w:rPr>
          <w:rFonts w:ascii="Times New Roman" w:eastAsia="Times New Roman" w:hAnsi="Times New Roman" w:cs="Times New Roman"/>
        </w:rPr>
        <w:t>Timmers</w:t>
      </w:r>
      <w:proofErr w:type="spellEnd"/>
      <w:r w:rsidRPr="002B2E80">
        <w:rPr>
          <w:rFonts w:ascii="Times New Roman" w:eastAsia="Times New Roman" w:hAnsi="Times New Roman" w:cs="Times New Roman"/>
        </w:rPr>
        <w:t xml:space="preserve">, R., &amp; Pitts, S. E. (2020). ‘Just notes’: </w:t>
      </w:r>
      <w:proofErr w:type="gramStart"/>
      <w:r w:rsidRPr="002B2E80">
        <w:rPr>
          <w:rFonts w:ascii="Times New Roman" w:eastAsia="Times New Roman" w:hAnsi="Times New Roman" w:cs="Times New Roman"/>
        </w:rPr>
        <w:t>Young</w:t>
      </w:r>
      <w:proofErr w:type="gramEnd"/>
      <w:r w:rsidRPr="002B2E80">
        <w:rPr>
          <w:rFonts w:ascii="Times New Roman" w:eastAsia="Times New Roman" w:hAnsi="Times New Roman" w:cs="Times New Roman"/>
        </w:rPr>
        <w:t xml:space="preserve"> musicians’ perspectives on learning expressive performance. </w:t>
      </w:r>
      <w:r w:rsidRPr="002B2E80">
        <w:rPr>
          <w:rFonts w:ascii="Times New Roman" w:eastAsia="Times New Roman" w:hAnsi="Times New Roman" w:cs="Times New Roman"/>
          <w:i/>
          <w:iCs/>
        </w:rPr>
        <w:t>Research Studies in Music Education</w:t>
      </w:r>
      <w:r w:rsidRPr="002B2E80">
        <w:rPr>
          <w:rFonts w:ascii="Times New Roman" w:eastAsia="Times New Roman" w:hAnsi="Times New Roman" w:cs="Times New Roman"/>
        </w:rPr>
        <w:t xml:space="preserve">, 1321103X19899171. </w:t>
      </w:r>
      <w:hyperlink r:id="rId10" w:history="1">
        <w:r w:rsidRPr="002B2E80">
          <w:rPr>
            <w:rStyle w:val="Hyperlink"/>
            <w:rFonts w:ascii="Times New Roman" w:eastAsia="Times New Roman" w:hAnsi="Times New Roman" w:cs="Times New Roman"/>
          </w:rPr>
          <w:t>https://doi.org/10.1177/1321103X19899171</w:t>
        </w:r>
      </w:hyperlink>
    </w:p>
    <w:p w14:paraId="328E23D5" w14:textId="2BD3E4ED" w:rsidR="006C518A" w:rsidRPr="002B2E80" w:rsidRDefault="00CD6567" w:rsidP="00235850">
      <w:pPr>
        <w:widowControl w:val="0"/>
        <w:autoSpaceDE w:val="0"/>
        <w:autoSpaceDN w:val="0"/>
        <w:adjustRightInd w:val="0"/>
        <w:spacing w:after="240" w:line="300" w:lineRule="atLeast"/>
        <w:ind w:left="600" w:firstLine="120"/>
        <w:rPr>
          <w:rFonts w:ascii="Times New Roman" w:hAnsi="Times New Roman" w:cs="Times New Roman"/>
          <w:color w:val="000000"/>
        </w:rPr>
      </w:pPr>
      <w:r w:rsidRPr="002B2E80">
        <w:rPr>
          <w:rFonts w:ascii="Times New Roman" w:hAnsi="Times New Roman" w:cs="Times New Roman"/>
          <w:color w:val="000000"/>
        </w:rPr>
        <w:t>Combined purpose and rationale</w:t>
      </w:r>
    </w:p>
    <w:p w14:paraId="1FFD5458" w14:textId="77777777" w:rsidR="00CD6567" w:rsidRPr="002B2E80" w:rsidRDefault="00CD6567" w:rsidP="00235850">
      <w:pPr>
        <w:pStyle w:val="NormalWeb"/>
        <w:shd w:val="clear" w:color="auto" w:fill="FFFFFF"/>
        <w:spacing w:line="390" w:lineRule="atLeast"/>
        <w:ind w:left="720"/>
        <w:rPr>
          <w:color w:val="333333"/>
          <w:sz w:val="24"/>
          <w:szCs w:val="24"/>
        </w:rPr>
      </w:pPr>
      <w:r w:rsidRPr="002B2E80">
        <w:rPr>
          <w:color w:val="333333"/>
          <w:sz w:val="24"/>
          <w:szCs w:val="24"/>
        </w:rPr>
        <w:t>Although playing expressively is generally seen as an important aspect of instrumental performance, little is known about effective approaches for facilitating young musicians’ expressivity within one-to-one or small group instrumental lessons.</w:t>
      </w:r>
    </w:p>
    <w:p w14:paraId="54996FC3" w14:textId="0E66358C" w:rsidR="00CD6567" w:rsidRPr="002B2E80" w:rsidRDefault="00CD6567" w:rsidP="00235850">
      <w:pPr>
        <w:pStyle w:val="NormalWeb"/>
        <w:shd w:val="clear" w:color="auto" w:fill="FFFFFF"/>
        <w:spacing w:line="390" w:lineRule="atLeast"/>
        <w:ind w:left="720"/>
        <w:rPr>
          <w:color w:val="333333"/>
          <w:sz w:val="24"/>
          <w:szCs w:val="24"/>
        </w:rPr>
      </w:pPr>
      <w:r w:rsidRPr="002B2E80">
        <w:rPr>
          <w:color w:val="333333"/>
          <w:sz w:val="24"/>
          <w:szCs w:val="24"/>
        </w:rPr>
        <w:t>The aim of this study was to understand more about young musicians’ learning of expressive performance by exploring their perspectives on the instructional strategies that had been used for teaching and facilitating expressiveness in an earlier experimental study (see </w:t>
      </w:r>
      <w:hyperlink r:id="rId11" w:history="1">
        <w:r w:rsidRPr="002B2E80">
          <w:rPr>
            <w:rStyle w:val="Hyperlink"/>
            <w:color w:val="006ACC"/>
            <w:sz w:val="24"/>
            <w:szCs w:val="24"/>
          </w:rPr>
          <w:t xml:space="preserve">Meissner &amp; </w:t>
        </w:r>
        <w:proofErr w:type="spellStart"/>
        <w:r w:rsidRPr="002B2E80">
          <w:rPr>
            <w:rStyle w:val="Hyperlink"/>
            <w:color w:val="006ACC"/>
            <w:sz w:val="24"/>
            <w:szCs w:val="24"/>
          </w:rPr>
          <w:t>Timmers</w:t>
        </w:r>
        <w:proofErr w:type="spellEnd"/>
        <w:r w:rsidRPr="002B2E80">
          <w:rPr>
            <w:rStyle w:val="Hyperlink"/>
            <w:color w:val="006ACC"/>
            <w:sz w:val="24"/>
            <w:szCs w:val="24"/>
          </w:rPr>
          <w:t>, 2019</w:t>
        </w:r>
      </w:hyperlink>
      <w:r w:rsidRPr="002B2E80">
        <w:rPr>
          <w:color w:val="333333"/>
          <w:sz w:val="24"/>
          <w:szCs w:val="24"/>
        </w:rPr>
        <w:t>). Investigating learners’ perspectives on instructional strategies helps to gain an understanding of the relative effectiveness of these methods. </w:t>
      </w:r>
      <w:r w:rsidR="00235850">
        <w:rPr>
          <w:color w:val="333333"/>
          <w:sz w:val="24"/>
          <w:szCs w:val="24"/>
        </w:rPr>
        <w:t>(</w:t>
      </w:r>
      <w:r w:rsidRPr="002B2E80">
        <w:rPr>
          <w:color w:val="333333"/>
          <w:sz w:val="24"/>
          <w:szCs w:val="24"/>
        </w:rPr>
        <w:t>Para 2-3)</w:t>
      </w:r>
    </w:p>
    <w:p w14:paraId="19E0EB71" w14:textId="77777777" w:rsidR="00CD6567" w:rsidRPr="002B2E80" w:rsidRDefault="00CD6567" w:rsidP="002B2E80">
      <w:pPr>
        <w:pStyle w:val="NormalWeb"/>
        <w:shd w:val="clear" w:color="auto" w:fill="FFFFFF"/>
        <w:spacing w:line="390" w:lineRule="atLeast"/>
        <w:ind w:left="300"/>
        <w:rPr>
          <w:color w:val="333333"/>
          <w:sz w:val="24"/>
          <w:szCs w:val="24"/>
        </w:rPr>
      </w:pPr>
    </w:p>
    <w:p w14:paraId="0CD855F8" w14:textId="77777777" w:rsidR="00367C7F" w:rsidRPr="002B2E80" w:rsidRDefault="00367C7F" w:rsidP="001E6009">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lastRenderedPageBreak/>
        <w:t xml:space="preserve">Hash, P. M. (2021). Remote Learning in School Bands During the COVID-19 Shutdown. </w:t>
      </w:r>
      <w:r w:rsidRPr="002B2E80">
        <w:rPr>
          <w:rFonts w:ascii="Times New Roman" w:eastAsia="Times New Roman" w:hAnsi="Times New Roman" w:cs="Times New Roman"/>
          <w:i/>
          <w:iCs/>
        </w:rPr>
        <w:t>Journal of Research in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68</w:t>
      </w:r>
      <w:r w:rsidRPr="002B2E80">
        <w:rPr>
          <w:rFonts w:ascii="Times New Roman" w:eastAsia="Times New Roman" w:hAnsi="Times New Roman" w:cs="Times New Roman"/>
        </w:rPr>
        <w:t xml:space="preserve">(4), 381–397. </w:t>
      </w:r>
      <w:hyperlink r:id="rId12" w:history="1">
        <w:r w:rsidRPr="002B2E80">
          <w:rPr>
            <w:rStyle w:val="Hyperlink"/>
            <w:rFonts w:ascii="Times New Roman" w:eastAsia="Times New Roman" w:hAnsi="Times New Roman" w:cs="Times New Roman"/>
          </w:rPr>
          <w:t>https://doi.org/10.1177/0022429420967008</w:t>
        </w:r>
      </w:hyperlink>
    </w:p>
    <w:p w14:paraId="64B503C6" w14:textId="3D0CD397" w:rsidR="00CD6567" w:rsidRPr="002B2E80" w:rsidRDefault="00CD6567" w:rsidP="001E6009">
      <w:pPr>
        <w:pStyle w:val="NormalWeb"/>
        <w:shd w:val="clear" w:color="auto" w:fill="FFFFFF"/>
        <w:spacing w:before="0" w:beforeAutospacing="0" w:after="0" w:afterAutospacing="0"/>
        <w:ind w:left="720"/>
        <w:rPr>
          <w:color w:val="333333"/>
          <w:sz w:val="24"/>
          <w:szCs w:val="24"/>
        </w:rPr>
      </w:pPr>
      <w:r w:rsidRPr="002B2E80">
        <w:rPr>
          <w:color w:val="333333"/>
          <w:sz w:val="24"/>
          <w:szCs w:val="24"/>
        </w:rPr>
        <w:t>Combination of Rationale &amp; Purpose</w:t>
      </w:r>
    </w:p>
    <w:p w14:paraId="38FC9043" w14:textId="2EB0158E" w:rsidR="00CD6567" w:rsidRPr="002B2E80" w:rsidRDefault="00367C7F" w:rsidP="001E6009">
      <w:pPr>
        <w:ind w:left="720"/>
        <w:rPr>
          <w:rFonts w:ascii="Times New Roman" w:eastAsia="Times New Roman" w:hAnsi="Times New Roman" w:cs="Times New Roman"/>
        </w:rPr>
      </w:pPr>
      <w:r w:rsidRPr="002B2E80">
        <w:rPr>
          <w:rFonts w:ascii="Times New Roman" w:eastAsia="Times New Roman" w:hAnsi="Times New Roman" w:cs="Times New Roman"/>
        </w:rPr>
        <w:t xml:space="preserve">[Remote learning] </w:t>
      </w:r>
      <w:r w:rsidR="00CD6567" w:rsidRPr="002B2E80">
        <w:rPr>
          <w:rFonts w:ascii="Times New Roman" w:eastAsia="Times New Roman" w:hAnsi="Times New Roman" w:cs="Times New Roman"/>
        </w:rPr>
        <w:t>provided during the COVID-19 shutdown was essentially emergency teaching rather than the implementation of curricula planned, organized, and designed for distanced environments. Knowing how teachers approached and experienced these unprecedented circumstances will help identify best practices, suggest avenues for future research, and inform professional development around RL. This line of research will help music educators prepare for future emergency school closures and perhaps foster ways of incorporating RL into the regular curriculum. Therefore, the purpose of this study was to examine the practices, experiences, and perspectives of elementary and secondary school band directors in relation to RL during the COVID-19 shutdown of spring 2020. The following questions guided this research: (1) What technologies and materials did school band directors utilize in RL? (2) What learning activities and assessments did school band directors implement through RL? (3) What factors affected band students’ participation in RL? (4) What support and challenges did school band directors experience in relation to RL? (5) How did RL experiences vary among teachers in low-poverty versus high-poverty schools and at the elementary/middle school level versus high school level? and (6) What were the conditions and instructional practices of school band programs that experienced relatively high and consistent levels of student participation in RL?</w:t>
      </w:r>
      <w:r w:rsidRPr="002B2E80">
        <w:rPr>
          <w:rFonts w:ascii="Times New Roman" w:eastAsia="Times New Roman" w:hAnsi="Times New Roman" w:cs="Times New Roman"/>
        </w:rPr>
        <w:t xml:space="preserve"> (p. 384)</w:t>
      </w:r>
    </w:p>
    <w:p w14:paraId="0F5EA5D7" w14:textId="77777777" w:rsidR="00CD6567" w:rsidRPr="002B2E80" w:rsidRDefault="00CD6567" w:rsidP="002B2E80">
      <w:pPr>
        <w:pStyle w:val="NormalWeb"/>
        <w:shd w:val="clear" w:color="auto" w:fill="FFFFFF"/>
        <w:spacing w:line="390" w:lineRule="atLeast"/>
        <w:ind w:left="300"/>
        <w:rPr>
          <w:color w:val="333333"/>
          <w:sz w:val="24"/>
          <w:szCs w:val="24"/>
        </w:rPr>
      </w:pPr>
    </w:p>
    <w:p w14:paraId="5CE3D79F" w14:textId="77777777" w:rsidR="00CD6567" w:rsidRPr="002B2E80" w:rsidRDefault="00CD6567" w:rsidP="002B2E80">
      <w:pPr>
        <w:widowControl w:val="0"/>
        <w:autoSpaceDE w:val="0"/>
        <w:autoSpaceDN w:val="0"/>
        <w:adjustRightInd w:val="0"/>
        <w:spacing w:after="240" w:line="300" w:lineRule="atLeast"/>
        <w:rPr>
          <w:rFonts w:ascii="Times New Roman" w:hAnsi="Times New Roman" w:cs="Times New Roman"/>
          <w:color w:val="000000"/>
        </w:rPr>
      </w:pPr>
    </w:p>
    <w:p w14:paraId="5D4AF086" w14:textId="77777777" w:rsidR="00CF0659" w:rsidRPr="002B2E80" w:rsidRDefault="00CF0659" w:rsidP="00732CBA">
      <w:pPr>
        <w:spacing w:line="480" w:lineRule="auto"/>
        <w:ind w:left="720" w:hanging="720"/>
        <w:rPr>
          <w:rFonts w:ascii="Times New Roman" w:eastAsia="Times New Roman" w:hAnsi="Times New Roman" w:cs="Times New Roman"/>
        </w:rPr>
      </w:pPr>
      <w:r w:rsidRPr="002B2E80">
        <w:rPr>
          <w:rFonts w:ascii="Times New Roman" w:eastAsia="Times New Roman" w:hAnsi="Times New Roman" w:cs="Times New Roman"/>
        </w:rPr>
        <w:t xml:space="preserve">White-Hope, S. R. (2016). </w:t>
      </w:r>
      <w:r w:rsidRPr="002B2E80">
        <w:rPr>
          <w:rFonts w:ascii="Times New Roman" w:eastAsia="Times New Roman" w:hAnsi="Times New Roman" w:cs="Times New Roman"/>
          <w:i/>
          <w:iCs/>
        </w:rPr>
        <w:t>Up you mighty people, you can what you will! Elma Lewis And Her School of Fine Arts</w:t>
      </w:r>
      <w:r w:rsidRPr="002B2E80">
        <w:rPr>
          <w:rFonts w:ascii="Times New Roman" w:eastAsia="Times New Roman" w:hAnsi="Times New Roman" w:cs="Times New Roman"/>
        </w:rPr>
        <w:t xml:space="preserve"> [DMA, Boston University]. </w:t>
      </w:r>
      <w:hyperlink r:id="rId13" w:history="1">
        <w:r w:rsidRPr="002B2E80">
          <w:rPr>
            <w:rStyle w:val="Hyperlink"/>
            <w:rFonts w:ascii="Times New Roman" w:eastAsia="Times New Roman" w:hAnsi="Times New Roman" w:cs="Times New Roman"/>
          </w:rPr>
          <w:t>https://open.bu.edu/handle/2144/19583</w:t>
        </w:r>
      </w:hyperlink>
    </w:p>
    <w:p w14:paraId="4EC2BA22" w14:textId="1EFA2291" w:rsidR="00CF0659" w:rsidRPr="002B2E80" w:rsidRDefault="00CF0659" w:rsidP="002B2E80">
      <w:pPr>
        <w:widowControl w:val="0"/>
        <w:autoSpaceDE w:val="0"/>
        <w:autoSpaceDN w:val="0"/>
        <w:adjustRightInd w:val="0"/>
        <w:spacing w:after="240" w:line="360" w:lineRule="atLeast"/>
        <w:rPr>
          <w:rFonts w:ascii="Times New Roman" w:hAnsi="Times New Roman" w:cs="Times New Roman"/>
          <w:color w:val="000000"/>
        </w:rPr>
      </w:pPr>
      <w:r w:rsidRPr="002B2E80">
        <w:rPr>
          <w:rFonts w:ascii="Times New Roman" w:hAnsi="Times New Roman" w:cs="Times New Roman"/>
          <w:color w:val="000000"/>
        </w:rPr>
        <w:t xml:space="preserve">Who was this woman who could see that American </w:t>
      </w:r>
      <w:proofErr w:type="gramStart"/>
      <w:r w:rsidRPr="002B2E80">
        <w:rPr>
          <w:rFonts w:ascii="Times New Roman" w:hAnsi="Times New Roman" w:cs="Times New Roman"/>
          <w:color w:val="000000"/>
        </w:rPr>
        <w:t>public school</w:t>
      </w:r>
      <w:proofErr w:type="gramEnd"/>
      <w:r w:rsidRPr="002B2E80">
        <w:rPr>
          <w:rFonts w:ascii="Times New Roman" w:hAnsi="Times New Roman" w:cs="Times New Roman"/>
          <w:color w:val="000000"/>
        </w:rPr>
        <w:t xml:space="preserve"> education needed supplementing if Africa-descended children were to see themselves as complete, contributing members to our society with a valiant past and an optimistic future? Who was this woman who, like Zoltan </w:t>
      </w:r>
      <w:proofErr w:type="spellStart"/>
      <w:r w:rsidRPr="002B2E80">
        <w:rPr>
          <w:rFonts w:ascii="Times New Roman" w:hAnsi="Times New Roman" w:cs="Times New Roman"/>
          <w:color w:val="000000"/>
        </w:rPr>
        <w:t>Kodály</w:t>
      </w:r>
      <w:proofErr w:type="spellEnd"/>
      <w:r w:rsidRPr="002B2E80">
        <w:rPr>
          <w:rFonts w:ascii="Times New Roman" w:hAnsi="Times New Roman" w:cs="Times New Roman"/>
          <w:color w:val="000000"/>
        </w:rPr>
        <w:t xml:space="preserve">, insisted on only the best for children? Who was this woman who could rally elected officials and community members alike to transform a rat-infested dumping zone into the </w:t>
      </w:r>
      <w:r w:rsidRPr="002B2E80">
        <w:rPr>
          <w:rFonts w:ascii="Times New Roman" w:hAnsi="Times New Roman" w:cs="Times New Roman"/>
          <w:i/>
          <w:iCs/>
          <w:color w:val="000000"/>
        </w:rPr>
        <w:t>Playhouse in the Park</w:t>
      </w:r>
      <w:r w:rsidRPr="002B2E80">
        <w:rPr>
          <w:rFonts w:ascii="Times New Roman" w:hAnsi="Times New Roman" w:cs="Times New Roman"/>
          <w:color w:val="000000"/>
        </w:rPr>
        <w:t xml:space="preserve">? How was it that her festival, in the heart of Boston’s African American community, hosted internationally acclaimed and local performers night after night, year after year? How did one woman achieve these feats through her own grit? How did she combine support from the model arts institutions she created and her community? I felt I owed it to </w:t>
      </w:r>
      <w:r w:rsidRPr="002B2E80">
        <w:rPr>
          <w:rFonts w:ascii="Times New Roman" w:hAnsi="Times New Roman" w:cs="Times New Roman"/>
          <w:color w:val="000000"/>
        </w:rPr>
        <w:lastRenderedPageBreak/>
        <w:t>Boston’s African American children and their teachers – past and present – to document and describe her vision. In this context, it is intended that an in-depth study of Elma Lewis and her School of Fine Arts will introduce Miss Lewis’ philosophy to readers and highlight the role her School of Fine Arts played in Boston’s African American community. (pp. 4-5)</w:t>
      </w:r>
    </w:p>
    <w:p w14:paraId="2A8D2991" w14:textId="77777777" w:rsidR="00CF0659" w:rsidRPr="002B2E80" w:rsidRDefault="00CF0659" w:rsidP="002B2E80">
      <w:pPr>
        <w:widowControl w:val="0"/>
        <w:autoSpaceDE w:val="0"/>
        <w:autoSpaceDN w:val="0"/>
        <w:adjustRightInd w:val="0"/>
        <w:spacing w:after="240" w:line="360" w:lineRule="atLeast"/>
        <w:rPr>
          <w:rFonts w:ascii="Times New Roman" w:hAnsi="Times New Roman" w:cs="Times New Roman"/>
          <w:color w:val="000000"/>
        </w:rPr>
      </w:pPr>
    </w:p>
    <w:p w14:paraId="762AA432" w14:textId="77777777" w:rsidR="00F6520E" w:rsidRPr="002B2E80" w:rsidRDefault="00F6520E" w:rsidP="00732CBA">
      <w:pPr>
        <w:spacing w:line="480" w:lineRule="auto"/>
        <w:ind w:left="720" w:hanging="720"/>
        <w:rPr>
          <w:rFonts w:ascii="Times New Roman" w:eastAsia="Times New Roman" w:hAnsi="Times New Roman" w:cs="Times New Roman"/>
        </w:rPr>
      </w:pPr>
      <w:proofErr w:type="spellStart"/>
      <w:r w:rsidRPr="002B2E80">
        <w:rPr>
          <w:rFonts w:ascii="Times New Roman" w:eastAsia="Times New Roman" w:hAnsi="Times New Roman" w:cs="Times New Roman"/>
        </w:rPr>
        <w:t>Palkki</w:t>
      </w:r>
      <w:proofErr w:type="spellEnd"/>
      <w:r w:rsidRPr="002B2E80">
        <w:rPr>
          <w:rFonts w:ascii="Times New Roman" w:eastAsia="Times New Roman" w:hAnsi="Times New Roman" w:cs="Times New Roman"/>
        </w:rPr>
        <w:t xml:space="preserve">, J. (2020). “My voice speaks for itself”: The experiences of three transgender students in American secondary school choral programs. </w:t>
      </w:r>
      <w:r w:rsidRPr="002B2E80">
        <w:rPr>
          <w:rFonts w:ascii="Times New Roman" w:eastAsia="Times New Roman" w:hAnsi="Times New Roman" w:cs="Times New Roman"/>
          <w:i/>
          <w:iCs/>
        </w:rPr>
        <w:t>International Journal of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38</w:t>
      </w:r>
      <w:r w:rsidRPr="002B2E80">
        <w:rPr>
          <w:rFonts w:ascii="Times New Roman" w:eastAsia="Times New Roman" w:hAnsi="Times New Roman" w:cs="Times New Roman"/>
        </w:rPr>
        <w:t xml:space="preserve">(1), 126–146. </w:t>
      </w:r>
      <w:hyperlink r:id="rId14" w:history="1">
        <w:r w:rsidRPr="002B2E80">
          <w:rPr>
            <w:rStyle w:val="Hyperlink"/>
            <w:rFonts w:ascii="Times New Roman" w:eastAsia="Times New Roman" w:hAnsi="Times New Roman" w:cs="Times New Roman"/>
          </w:rPr>
          <w:t>https://doi.org/10.1177/0255761419890946</w:t>
        </w:r>
      </w:hyperlink>
    </w:p>
    <w:p w14:paraId="3EB13816" w14:textId="417E0EE9" w:rsidR="00123AD0" w:rsidRPr="002B2E80" w:rsidRDefault="00DB2592" w:rsidP="002B2E80">
      <w:pPr>
        <w:widowControl w:val="0"/>
        <w:autoSpaceDE w:val="0"/>
        <w:autoSpaceDN w:val="0"/>
        <w:adjustRightInd w:val="0"/>
        <w:spacing w:after="240" w:line="320" w:lineRule="atLeast"/>
        <w:rPr>
          <w:rFonts w:ascii="Times New Roman" w:hAnsi="Times New Roman" w:cs="Times New Roman"/>
          <w:color w:val="000000"/>
        </w:rPr>
      </w:pPr>
      <w:r w:rsidRPr="002B2E80">
        <w:rPr>
          <w:rFonts w:ascii="Times New Roman" w:hAnsi="Times New Roman" w:cs="Times New Roman"/>
          <w:color w:val="000000"/>
        </w:rPr>
        <w:t>Purpose and rationale combined</w:t>
      </w:r>
    </w:p>
    <w:p w14:paraId="34583174" w14:textId="366DF25A" w:rsidR="00DB2592" w:rsidRPr="002B2E80" w:rsidRDefault="00DB2592" w:rsidP="002B2E80">
      <w:pPr>
        <w:rPr>
          <w:rFonts w:ascii="Times New Roman" w:eastAsia="Times New Roman" w:hAnsi="Times New Roman" w:cs="Times New Roman"/>
        </w:rPr>
      </w:pPr>
      <w:r w:rsidRPr="002B2E80">
        <w:rPr>
          <w:rFonts w:ascii="Times New Roman" w:eastAsia="Times New Roman" w:hAnsi="Times New Roman" w:cs="Times New Roman"/>
          <w:shd w:val="clear" w:color="auto" w:fill="FFFFFF"/>
        </w:rPr>
        <w:t>In recent years, there has been rapid progress toward equal rights for the lesbian, gay, bisexual, transgender, queer, questioning, and allies/agender/asexual (LGBTQA)</w:t>
      </w:r>
      <w:hyperlink r:id="rId15" w:history="1">
        <w:r w:rsidRPr="002B2E80">
          <w:rPr>
            <w:rStyle w:val="Hyperlink"/>
            <w:rFonts w:ascii="Times New Roman" w:eastAsia="Times New Roman" w:hAnsi="Times New Roman" w:cs="Times New Roman"/>
            <w:color w:val="auto"/>
            <w:u w:val="none"/>
            <w:shd w:val="clear" w:color="auto" w:fill="FFFFFF"/>
            <w:vertAlign w:val="superscript"/>
          </w:rPr>
          <w:t>1</w:t>
        </w:r>
      </w:hyperlink>
      <w:r w:rsidRPr="002B2E80">
        <w:rPr>
          <w:rFonts w:ascii="Times New Roman" w:eastAsia="Times New Roman" w:hAnsi="Times New Roman" w:cs="Times New Roman"/>
          <w:shd w:val="clear" w:color="auto" w:fill="FFFFFF"/>
        </w:rPr>
        <w:t> community, most notably in North America and Europe.</w:t>
      </w:r>
      <w:hyperlink r:id="rId16" w:history="1">
        <w:r w:rsidRPr="002B2E80">
          <w:rPr>
            <w:rStyle w:val="Hyperlink"/>
            <w:rFonts w:ascii="Times New Roman" w:eastAsia="Times New Roman" w:hAnsi="Times New Roman" w:cs="Times New Roman"/>
            <w:color w:val="auto"/>
            <w:u w:val="none"/>
            <w:shd w:val="clear" w:color="auto" w:fill="FFFFFF"/>
            <w:vertAlign w:val="superscript"/>
          </w:rPr>
          <w:t>2</w:t>
        </w:r>
      </w:hyperlink>
      <w:r w:rsidRPr="002B2E80">
        <w:rPr>
          <w:rFonts w:ascii="Times New Roman" w:eastAsia="Times New Roman" w:hAnsi="Times New Roman" w:cs="Times New Roman"/>
          <w:shd w:val="clear" w:color="auto" w:fill="FFFFFF"/>
        </w:rPr>
        <w:t> Yet, even as laws and policies on marriage equality and anti-discrimination become more prevalent for gays and lesbians, people who identify as transgender (trans)</w:t>
      </w:r>
      <w:hyperlink r:id="rId17" w:history="1">
        <w:r w:rsidRPr="002B2E80">
          <w:rPr>
            <w:rStyle w:val="Hyperlink"/>
            <w:rFonts w:ascii="Times New Roman" w:eastAsia="Times New Roman" w:hAnsi="Times New Roman" w:cs="Times New Roman"/>
            <w:color w:val="auto"/>
            <w:u w:val="none"/>
            <w:shd w:val="clear" w:color="auto" w:fill="FFFFFF"/>
            <w:vertAlign w:val="superscript"/>
          </w:rPr>
          <w:t>3</w:t>
        </w:r>
      </w:hyperlink>
      <w:r w:rsidRPr="002B2E80">
        <w:rPr>
          <w:rFonts w:ascii="Times New Roman" w:eastAsia="Times New Roman" w:hAnsi="Times New Roman" w:cs="Times New Roman"/>
          <w:shd w:val="clear" w:color="auto" w:fill="FFFFFF"/>
        </w:rPr>
        <w:t> face discrimination (</w:t>
      </w:r>
      <w:hyperlink r:id="rId18" w:history="1">
        <w:r w:rsidRPr="002B2E80">
          <w:rPr>
            <w:rStyle w:val="Hyperlink"/>
            <w:rFonts w:ascii="Times New Roman" w:eastAsia="Times New Roman" w:hAnsi="Times New Roman" w:cs="Times New Roman"/>
            <w:color w:val="auto"/>
            <w:u w:val="none"/>
            <w:shd w:val="clear" w:color="auto" w:fill="FFFFFF"/>
          </w:rPr>
          <w:t>Grant et al., 2010</w:t>
        </w:r>
      </w:hyperlink>
      <w:r w:rsidRPr="002B2E80">
        <w:rPr>
          <w:rFonts w:ascii="Times New Roman" w:eastAsia="Times New Roman" w:hAnsi="Times New Roman" w:cs="Times New Roman"/>
          <w:shd w:val="clear" w:color="auto" w:fill="FFFFFF"/>
        </w:rPr>
        <w:t>; </w:t>
      </w:r>
      <w:hyperlink r:id="rId19" w:history="1">
        <w:r w:rsidRPr="002B2E80">
          <w:rPr>
            <w:rStyle w:val="Hyperlink"/>
            <w:rFonts w:ascii="Times New Roman" w:eastAsia="Times New Roman" w:hAnsi="Times New Roman" w:cs="Times New Roman"/>
            <w:color w:val="auto"/>
            <w:u w:val="none"/>
            <w:shd w:val="clear" w:color="auto" w:fill="FFFFFF"/>
          </w:rPr>
          <w:t>Harrison et al., 2012</w:t>
        </w:r>
      </w:hyperlink>
      <w:r w:rsidRPr="002B2E80">
        <w:rPr>
          <w:rFonts w:ascii="Times New Roman" w:eastAsia="Times New Roman" w:hAnsi="Times New Roman" w:cs="Times New Roman"/>
          <w:shd w:val="clear" w:color="auto" w:fill="FFFFFF"/>
        </w:rPr>
        <w:t>), violence (</w:t>
      </w:r>
      <w:proofErr w:type="spellStart"/>
      <w:r w:rsidR="00732CBA">
        <w:fldChar w:fldCharType="begin"/>
      </w:r>
      <w:r w:rsidR="00732CBA">
        <w:instrText xml:space="preserve"> HYPERLINK "https://journals-sagepub-com.ezproxy.wpunj.edu/doi/full/10.1177/0255761419890946" </w:instrText>
      </w:r>
      <w:r w:rsidR="00732CBA">
        <w:fldChar w:fldCharType="separate"/>
      </w:r>
      <w:r w:rsidRPr="002B2E80">
        <w:rPr>
          <w:rStyle w:val="Hyperlink"/>
          <w:rFonts w:ascii="Times New Roman" w:eastAsia="Times New Roman" w:hAnsi="Times New Roman" w:cs="Times New Roman"/>
          <w:color w:val="auto"/>
          <w:u w:val="none"/>
          <w:shd w:val="clear" w:color="auto" w:fill="FFFFFF"/>
        </w:rPr>
        <w:t>Stotzer</w:t>
      </w:r>
      <w:proofErr w:type="spellEnd"/>
      <w:r w:rsidRPr="002B2E80">
        <w:rPr>
          <w:rStyle w:val="Hyperlink"/>
          <w:rFonts w:ascii="Times New Roman" w:eastAsia="Times New Roman" w:hAnsi="Times New Roman" w:cs="Times New Roman"/>
          <w:color w:val="auto"/>
          <w:u w:val="none"/>
          <w:shd w:val="clear" w:color="auto" w:fill="FFFFFF"/>
        </w:rPr>
        <w:t>, 2009</w:t>
      </w:r>
      <w:r w:rsidR="00732CBA">
        <w:rPr>
          <w:rStyle w:val="Hyperlink"/>
          <w:rFonts w:ascii="Times New Roman" w:eastAsia="Times New Roman" w:hAnsi="Times New Roman" w:cs="Times New Roman"/>
          <w:color w:val="auto"/>
          <w:u w:val="none"/>
          <w:shd w:val="clear" w:color="auto" w:fill="FFFFFF"/>
        </w:rPr>
        <w:fldChar w:fldCharType="end"/>
      </w:r>
      <w:r w:rsidRPr="002B2E80">
        <w:rPr>
          <w:rFonts w:ascii="Times New Roman" w:eastAsia="Times New Roman" w:hAnsi="Times New Roman" w:cs="Times New Roman"/>
          <w:shd w:val="clear" w:color="auto" w:fill="FFFFFF"/>
        </w:rPr>
        <w:t>), and policing of their bathroom use (</w:t>
      </w:r>
      <w:hyperlink r:id="rId20" w:history="1">
        <w:r w:rsidRPr="002B2E80">
          <w:rPr>
            <w:rStyle w:val="Hyperlink"/>
            <w:rFonts w:ascii="Times New Roman" w:eastAsia="Times New Roman" w:hAnsi="Times New Roman" w:cs="Times New Roman"/>
            <w:color w:val="auto"/>
            <w:u w:val="none"/>
            <w:shd w:val="clear" w:color="auto" w:fill="FFFFFF"/>
          </w:rPr>
          <w:t>Schilt &amp; Westbrook, 2015</w:t>
        </w:r>
      </w:hyperlink>
      <w:r w:rsidRPr="002B2E80">
        <w:rPr>
          <w:rFonts w:ascii="Times New Roman" w:eastAsia="Times New Roman" w:hAnsi="Times New Roman" w:cs="Times New Roman"/>
          <w:shd w:val="clear" w:color="auto" w:fill="FFFFFF"/>
        </w:rPr>
        <w:t>). In addition, trans youth are coming out at younger and younger ages (</w:t>
      </w:r>
      <w:proofErr w:type="spellStart"/>
      <w:r w:rsidR="00732CBA">
        <w:fldChar w:fldCharType="begin"/>
      </w:r>
      <w:r w:rsidR="00732CBA">
        <w:instrText xml:space="preserve"> HYPERLINK "https://journals-sagepub-com.ezproxy.wpunj.edu/doi/full/10.1177/0255761419890946" </w:instrText>
      </w:r>
      <w:r w:rsidR="00732CBA">
        <w:fldChar w:fldCharType="separate"/>
      </w:r>
      <w:r w:rsidRPr="002B2E80">
        <w:rPr>
          <w:rStyle w:val="Hyperlink"/>
          <w:rFonts w:ascii="Times New Roman" w:eastAsia="Times New Roman" w:hAnsi="Times New Roman" w:cs="Times New Roman"/>
          <w:color w:val="auto"/>
          <w:u w:val="none"/>
          <w:shd w:val="clear" w:color="auto" w:fill="FFFFFF"/>
        </w:rPr>
        <w:t>Beemyn</w:t>
      </w:r>
      <w:proofErr w:type="spellEnd"/>
      <w:r w:rsidRPr="002B2E80">
        <w:rPr>
          <w:rStyle w:val="Hyperlink"/>
          <w:rFonts w:ascii="Times New Roman" w:eastAsia="Times New Roman" w:hAnsi="Times New Roman" w:cs="Times New Roman"/>
          <w:color w:val="auto"/>
          <w:u w:val="none"/>
          <w:shd w:val="clear" w:color="auto" w:fill="FFFFFF"/>
        </w:rPr>
        <w:t xml:space="preserve"> &amp; Rankin, 2011</w:t>
      </w:r>
      <w:r w:rsidR="00732CBA">
        <w:rPr>
          <w:rStyle w:val="Hyperlink"/>
          <w:rFonts w:ascii="Times New Roman" w:eastAsia="Times New Roman" w:hAnsi="Times New Roman" w:cs="Times New Roman"/>
          <w:color w:val="auto"/>
          <w:u w:val="none"/>
          <w:shd w:val="clear" w:color="auto" w:fill="FFFFFF"/>
        </w:rPr>
        <w:fldChar w:fldCharType="end"/>
      </w:r>
      <w:r w:rsidRPr="002B2E80">
        <w:rPr>
          <w:rFonts w:ascii="Times New Roman" w:eastAsia="Times New Roman" w:hAnsi="Times New Roman" w:cs="Times New Roman"/>
          <w:shd w:val="clear" w:color="auto" w:fill="FFFFFF"/>
        </w:rPr>
        <w:t>; </w:t>
      </w:r>
      <w:hyperlink r:id="rId21" w:history="1">
        <w:r w:rsidRPr="002B2E80">
          <w:rPr>
            <w:rStyle w:val="Hyperlink"/>
            <w:rFonts w:ascii="Times New Roman" w:eastAsia="Times New Roman" w:hAnsi="Times New Roman" w:cs="Times New Roman"/>
            <w:color w:val="auto"/>
            <w:u w:val="none"/>
            <w:shd w:val="clear" w:color="auto" w:fill="FFFFFF"/>
          </w:rPr>
          <w:t xml:space="preserve">Grossman &amp; </w:t>
        </w:r>
        <w:proofErr w:type="spellStart"/>
        <w:r w:rsidRPr="002B2E80">
          <w:rPr>
            <w:rStyle w:val="Hyperlink"/>
            <w:rFonts w:ascii="Times New Roman" w:eastAsia="Times New Roman" w:hAnsi="Times New Roman" w:cs="Times New Roman"/>
            <w:color w:val="auto"/>
            <w:u w:val="none"/>
            <w:shd w:val="clear" w:color="auto" w:fill="FFFFFF"/>
          </w:rPr>
          <w:t>D’Augelli</w:t>
        </w:r>
        <w:proofErr w:type="spellEnd"/>
        <w:r w:rsidRPr="002B2E80">
          <w:rPr>
            <w:rStyle w:val="Hyperlink"/>
            <w:rFonts w:ascii="Times New Roman" w:eastAsia="Times New Roman" w:hAnsi="Times New Roman" w:cs="Times New Roman"/>
            <w:color w:val="auto"/>
            <w:u w:val="none"/>
            <w:shd w:val="clear" w:color="auto" w:fill="FFFFFF"/>
          </w:rPr>
          <w:t>, 2006</w:t>
        </w:r>
      </w:hyperlink>
      <w:r w:rsidRPr="002B2E80">
        <w:rPr>
          <w:rFonts w:ascii="Times New Roman" w:eastAsia="Times New Roman" w:hAnsi="Times New Roman" w:cs="Times New Roman"/>
          <w:shd w:val="clear" w:color="auto" w:fill="FFFFFF"/>
        </w:rPr>
        <w:t>; </w:t>
      </w:r>
      <w:hyperlink r:id="rId22" w:history="1">
        <w:r w:rsidRPr="002B2E80">
          <w:rPr>
            <w:rStyle w:val="Hyperlink"/>
            <w:rFonts w:ascii="Times New Roman" w:eastAsia="Times New Roman" w:hAnsi="Times New Roman" w:cs="Times New Roman"/>
            <w:color w:val="auto"/>
            <w:u w:val="none"/>
            <w:shd w:val="clear" w:color="auto" w:fill="FFFFFF"/>
          </w:rPr>
          <w:t>Grossman et al., 2006</w:t>
        </w:r>
      </w:hyperlink>
      <w:r w:rsidRPr="002B2E80">
        <w:rPr>
          <w:rFonts w:ascii="Times New Roman" w:eastAsia="Times New Roman" w:hAnsi="Times New Roman" w:cs="Times New Roman"/>
          <w:shd w:val="clear" w:color="auto" w:fill="FFFFFF"/>
        </w:rPr>
        <w:t xml:space="preserve">). Therefore, more and more </w:t>
      </w:r>
      <w:proofErr w:type="gramStart"/>
      <w:r w:rsidRPr="002B2E80">
        <w:rPr>
          <w:rFonts w:ascii="Times New Roman" w:eastAsia="Times New Roman" w:hAnsi="Times New Roman" w:cs="Times New Roman"/>
          <w:shd w:val="clear" w:color="auto" w:fill="FFFFFF"/>
        </w:rPr>
        <w:t>public school</w:t>
      </w:r>
      <w:proofErr w:type="gramEnd"/>
      <w:r w:rsidRPr="002B2E80">
        <w:rPr>
          <w:rFonts w:ascii="Times New Roman" w:eastAsia="Times New Roman" w:hAnsi="Times New Roman" w:cs="Times New Roman"/>
          <w:shd w:val="clear" w:color="auto" w:fill="FFFFFF"/>
        </w:rPr>
        <w:t xml:space="preserve"> choral teachers will work with trans youth—and soon. Many trans students face bullying and harassment in school (</w:t>
      </w:r>
      <w:proofErr w:type="spellStart"/>
      <w:r w:rsidR="00732CBA">
        <w:fldChar w:fldCharType="begin"/>
      </w:r>
      <w:r w:rsidR="00732CBA">
        <w:instrText xml:space="preserve"> HYPERLINK "https://journals-sagepub-com.ezproxy.wpunj.edu/doi/full/10.1177/0255761419890946" </w:instrText>
      </w:r>
      <w:r w:rsidR="00732CBA">
        <w:fldChar w:fldCharType="separate"/>
      </w:r>
      <w:r w:rsidRPr="002B2E80">
        <w:rPr>
          <w:rStyle w:val="Hyperlink"/>
          <w:rFonts w:ascii="Times New Roman" w:eastAsia="Times New Roman" w:hAnsi="Times New Roman" w:cs="Times New Roman"/>
          <w:color w:val="auto"/>
          <w:u w:val="none"/>
          <w:shd w:val="clear" w:color="auto" w:fill="FFFFFF"/>
        </w:rPr>
        <w:t>Greytak</w:t>
      </w:r>
      <w:proofErr w:type="spellEnd"/>
      <w:r w:rsidRPr="002B2E80">
        <w:rPr>
          <w:rStyle w:val="Hyperlink"/>
          <w:rFonts w:ascii="Times New Roman" w:eastAsia="Times New Roman" w:hAnsi="Times New Roman" w:cs="Times New Roman"/>
          <w:color w:val="auto"/>
          <w:u w:val="none"/>
          <w:shd w:val="clear" w:color="auto" w:fill="FFFFFF"/>
        </w:rPr>
        <w:t xml:space="preserve"> et al., 2009</w:t>
      </w:r>
      <w:r w:rsidR="00732CBA">
        <w:rPr>
          <w:rStyle w:val="Hyperlink"/>
          <w:rFonts w:ascii="Times New Roman" w:eastAsia="Times New Roman" w:hAnsi="Times New Roman" w:cs="Times New Roman"/>
          <w:color w:val="auto"/>
          <w:u w:val="none"/>
          <w:shd w:val="clear" w:color="auto" w:fill="FFFFFF"/>
        </w:rPr>
        <w:fldChar w:fldCharType="end"/>
      </w:r>
      <w:r w:rsidRPr="002B2E80">
        <w:rPr>
          <w:rFonts w:ascii="Times New Roman" w:eastAsia="Times New Roman" w:hAnsi="Times New Roman" w:cs="Times New Roman"/>
          <w:shd w:val="clear" w:color="auto" w:fill="FFFFFF"/>
        </w:rPr>
        <w:t>). The burgeoning LGBTQA literature in music education has focused almost exclusively on lesbians and gays, with little or no mention of transgender viewpoints. In this study, I explore the musical lives and experiences of three trans students in high school choral programs.</w:t>
      </w:r>
    </w:p>
    <w:p w14:paraId="0DE5BC86" w14:textId="77777777" w:rsidR="00DB2592" w:rsidRPr="002B2E80" w:rsidRDefault="00DB2592" w:rsidP="002B2E80">
      <w:pPr>
        <w:widowControl w:val="0"/>
        <w:autoSpaceDE w:val="0"/>
        <w:autoSpaceDN w:val="0"/>
        <w:adjustRightInd w:val="0"/>
        <w:spacing w:after="240" w:line="320" w:lineRule="atLeast"/>
        <w:rPr>
          <w:rFonts w:ascii="Times New Roman" w:hAnsi="Times New Roman" w:cs="Times New Roman"/>
          <w:color w:val="000000"/>
        </w:rPr>
      </w:pPr>
    </w:p>
    <w:p w14:paraId="559E130B" w14:textId="77777777" w:rsidR="00F6520E" w:rsidRPr="002B2E80" w:rsidRDefault="00F6520E" w:rsidP="00732CBA">
      <w:pPr>
        <w:spacing w:line="480" w:lineRule="auto"/>
        <w:ind w:left="720" w:hanging="720"/>
        <w:rPr>
          <w:rFonts w:ascii="Times New Roman" w:eastAsia="Times New Roman" w:hAnsi="Times New Roman" w:cs="Times New Roman"/>
        </w:rPr>
      </w:pPr>
      <w:proofErr w:type="spellStart"/>
      <w:r w:rsidRPr="002B2E80">
        <w:rPr>
          <w:rFonts w:ascii="Times New Roman" w:eastAsia="Times New Roman" w:hAnsi="Times New Roman" w:cs="Times New Roman"/>
        </w:rPr>
        <w:t>Akutsu</w:t>
      </w:r>
      <w:proofErr w:type="spellEnd"/>
      <w:r w:rsidRPr="002B2E80">
        <w:rPr>
          <w:rFonts w:ascii="Times New Roman" w:eastAsia="Times New Roman" w:hAnsi="Times New Roman" w:cs="Times New Roman"/>
        </w:rPr>
        <w:t xml:space="preserve">, T. (2020). Changes after Suzuki: A retrospective analysis and review of contemporary issues regarding the Suzuki Method in Japan. </w:t>
      </w:r>
      <w:r w:rsidRPr="002B2E80">
        <w:rPr>
          <w:rFonts w:ascii="Times New Roman" w:eastAsia="Times New Roman" w:hAnsi="Times New Roman" w:cs="Times New Roman"/>
          <w:i/>
          <w:iCs/>
        </w:rPr>
        <w:t>International Journal of Music Education</w:t>
      </w:r>
      <w:r w:rsidRPr="002B2E80">
        <w:rPr>
          <w:rFonts w:ascii="Times New Roman" w:eastAsia="Times New Roman" w:hAnsi="Times New Roman" w:cs="Times New Roman"/>
        </w:rPr>
        <w:t xml:space="preserve">, </w:t>
      </w:r>
      <w:r w:rsidRPr="002B2E80">
        <w:rPr>
          <w:rFonts w:ascii="Times New Roman" w:eastAsia="Times New Roman" w:hAnsi="Times New Roman" w:cs="Times New Roman"/>
          <w:i/>
          <w:iCs/>
        </w:rPr>
        <w:t>38</w:t>
      </w:r>
      <w:r w:rsidRPr="002B2E80">
        <w:rPr>
          <w:rFonts w:ascii="Times New Roman" w:eastAsia="Times New Roman" w:hAnsi="Times New Roman" w:cs="Times New Roman"/>
        </w:rPr>
        <w:t xml:space="preserve">(1), 18–35. </w:t>
      </w:r>
      <w:hyperlink r:id="rId23" w:history="1">
        <w:r w:rsidRPr="002B2E80">
          <w:rPr>
            <w:rStyle w:val="Hyperlink"/>
            <w:rFonts w:ascii="Times New Roman" w:eastAsia="Times New Roman" w:hAnsi="Times New Roman" w:cs="Times New Roman"/>
          </w:rPr>
          <w:t>https://doi.org/10.1177/0255761419859628</w:t>
        </w:r>
      </w:hyperlink>
    </w:p>
    <w:p w14:paraId="4780FB35" w14:textId="77777777" w:rsidR="00F6520E" w:rsidRPr="002B2E80" w:rsidRDefault="00F6520E" w:rsidP="002B2E80">
      <w:pPr>
        <w:rPr>
          <w:rFonts w:ascii="Times New Roman" w:eastAsia="Times New Roman" w:hAnsi="Times New Roman" w:cs="Times New Roman"/>
        </w:rPr>
      </w:pPr>
      <w:r w:rsidRPr="002B2E80">
        <w:rPr>
          <w:rFonts w:ascii="Times New Roman" w:eastAsia="Times New Roman" w:hAnsi="Times New Roman" w:cs="Times New Roman"/>
          <w:shd w:val="clear" w:color="auto" w:fill="FFFFFF"/>
        </w:rPr>
        <w:t>Suzuki did not like the term “method” as he believed that teachers and children are unique individuals and Suzuki “didn’t always teach alike” (Preface). After Suzuki’s death in 1998, his pupils and the younger generation of Suzuki teachers faced the issues of continuing, renewing, and developing the method based on his philosophy (</w:t>
      </w:r>
      <w:proofErr w:type="spellStart"/>
      <w:r w:rsidR="00732CBA">
        <w:fldChar w:fldCharType="begin"/>
      </w:r>
      <w:r w:rsidR="00732CBA">
        <w:instrText xml:space="preserve"> HYPERLINK "https://journals-sagepub-com.ezproxy.wpunj.edu/doi/full/10.1177/0255761419859628" </w:instrText>
      </w:r>
      <w:r w:rsidR="00732CBA">
        <w:fldChar w:fldCharType="separate"/>
      </w:r>
      <w:r w:rsidRPr="002B2E80">
        <w:rPr>
          <w:rStyle w:val="Hyperlink"/>
          <w:rFonts w:ascii="Times New Roman" w:eastAsia="Times New Roman" w:hAnsi="Times New Roman" w:cs="Times New Roman"/>
          <w:color w:val="auto"/>
          <w:u w:val="none"/>
          <w:shd w:val="clear" w:color="auto" w:fill="FFFFFF"/>
        </w:rPr>
        <w:t>Akutsu</w:t>
      </w:r>
      <w:proofErr w:type="spellEnd"/>
      <w:r w:rsidRPr="002B2E80">
        <w:rPr>
          <w:rStyle w:val="Hyperlink"/>
          <w:rFonts w:ascii="Times New Roman" w:eastAsia="Times New Roman" w:hAnsi="Times New Roman" w:cs="Times New Roman"/>
          <w:color w:val="auto"/>
          <w:u w:val="none"/>
          <w:shd w:val="clear" w:color="auto" w:fill="FFFFFF"/>
        </w:rPr>
        <w:t>, 2016</w:t>
      </w:r>
      <w:r w:rsidR="00732CBA">
        <w:rPr>
          <w:rStyle w:val="Hyperlink"/>
          <w:rFonts w:ascii="Times New Roman" w:eastAsia="Times New Roman" w:hAnsi="Times New Roman" w:cs="Times New Roman"/>
          <w:color w:val="auto"/>
          <w:u w:val="none"/>
          <w:shd w:val="clear" w:color="auto" w:fill="FFFFFF"/>
        </w:rPr>
        <w:fldChar w:fldCharType="end"/>
      </w:r>
      <w:r w:rsidRPr="002B2E80">
        <w:rPr>
          <w:rFonts w:ascii="Times New Roman" w:eastAsia="Times New Roman" w:hAnsi="Times New Roman" w:cs="Times New Roman"/>
          <w:shd w:val="clear" w:color="auto" w:fill="FFFFFF"/>
        </w:rPr>
        <w:t>; </w:t>
      </w:r>
      <w:hyperlink r:id="rId24" w:history="1">
        <w:r w:rsidRPr="002B2E80">
          <w:rPr>
            <w:rStyle w:val="Hyperlink"/>
            <w:rFonts w:ascii="Times New Roman" w:eastAsia="Times New Roman" w:hAnsi="Times New Roman" w:cs="Times New Roman"/>
            <w:color w:val="auto"/>
            <w:u w:val="none"/>
            <w:shd w:val="clear" w:color="auto" w:fill="FFFFFF"/>
          </w:rPr>
          <w:t>Kojima, 2016</w:t>
        </w:r>
      </w:hyperlink>
      <w:r w:rsidRPr="002B2E80">
        <w:rPr>
          <w:rFonts w:ascii="Times New Roman" w:eastAsia="Times New Roman" w:hAnsi="Times New Roman" w:cs="Times New Roman"/>
          <w:shd w:val="clear" w:color="auto" w:fill="FFFFFF"/>
        </w:rPr>
        <w:t>). This study investigates the contemporary issues apparent in the textbooks and recordings of the Suzuki Method in Japan and examines the overall atmosphere of the lessons and Suzuki methodology past and present.</w:t>
      </w:r>
    </w:p>
    <w:p w14:paraId="46198AFE" w14:textId="77777777" w:rsidR="008B4E09" w:rsidRPr="002B2E80" w:rsidRDefault="008B4E09" w:rsidP="002B2E80">
      <w:pPr>
        <w:rPr>
          <w:rFonts w:ascii="Times New Roman" w:hAnsi="Times New Roman" w:cs="Times New Roman"/>
        </w:rPr>
      </w:pPr>
    </w:p>
    <w:sectPr w:rsidR="008B4E09" w:rsidRPr="002B2E80" w:rsidSect="00997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21518"/>
    <w:multiLevelType w:val="hybridMultilevel"/>
    <w:tmpl w:val="A7026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E09"/>
    <w:rsid w:val="000025A2"/>
    <w:rsid w:val="00123AD0"/>
    <w:rsid w:val="001E6009"/>
    <w:rsid w:val="00235850"/>
    <w:rsid w:val="002B2E80"/>
    <w:rsid w:val="00367C7F"/>
    <w:rsid w:val="003C2367"/>
    <w:rsid w:val="003D38E3"/>
    <w:rsid w:val="003E7E97"/>
    <w:rsid w:val="00404469"/>
    <w:rsid w:val="005812AE"/>
    <w:rsid w:val="006462EA"/>
    <w:rsid w:val="00663D09"/>
    <w:rsid w:val="006746EC"/>
    <w:rsid w:val="006C518A"/>
    <w:rsid w:val="006D49EB"/>
    <w:rsid w:val="0071427C"/>
    <w:rsid w:val="00732CBA"/>
    <w:rsid w:val="008943AB"/>
    <w:rsid w:val="008B4E09"/>
    <w:rsid w:val="00916A0D"/>
    <w:rsid w:val="00997667"/>
    <w:rsid w:val="009E7DDE"/>
    <w:rsid w:val="00B32EE5"/>
    <w:rsid w:val="00B7003B"/>
    <w:rsid w:val="00B93E8F"/>
    <w:rsid w:val="00C17E73"/>
    <w:rsid w:val="00CD5983"/>
    <w:rsid w:val="00CD6567"/>
    <w:rsid w:val="00CF0659"/>
    <w:rsid w:val="00D44E05"/>
    <w:rsid w:val="00DB0797"/>
    <w:rsid w:val="00DB2592"/>
    <w:rsid w:val="00F6520E"/>
    <w:rsid w:val="00F84C41"/>
    <w:rsid w:val="00FB5913"/>
    <w:rsid w:val="053F67F7"/>
    <w:rsid w:val="42D0B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39F09"/>
  <w14:defaultImageDpi w14:val="300"/>
  <w15:docId w15:val="{E62984A4-D4CC-FC4B-A62D-BBAD92E3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469"/>
    <w:rPr>
      <w:color w:val="0000FF"/>
      <w:u w:val="single"/>
    </w:rPr>
  </w:style>
  <w:style w:type="paragraph" w:styleId="NormalWeb">
    <w:name w:val="Normal (Web)"/>
    <w:basedOn w:val="Normal"/>
    <w:uiPriority w:val="99"/>
    <w:semiHidden/>
    <w:unhideWhenUsed/>
    <w:rsid w:val="00CD6567"/>
    <w:pPr>
      <w:spacing w:before="100" w:beforeAutospacing="1" w:after="100" w:afterAutospacing="1"/>
    </w:pPr>
    <w:rPr>
      <w:rFonts w:ascii="Times New Roman" w:hAnsi="Times New Roman" w:cs="Times New Roman"/>
      <w:sz w:val="20"/>
      <w:szCs w:val="20"/>
    </w:rPr>
  </w:style>
  <w:style w:type="character" w:styleId="CommentReference">
    <w:name w:val="annotation reference"/>
    <w:basedOn w:val="DefaultParagraphFont"/>
    <w:uiPriority w:val="99"/>
    <w:unhideWhenUsed/>
    <w:rsid w:val="00FB5913"/>
    <w:rPr>
      <w:sz w:val="18"/>
      <w:szCs w:val="18"/>
    </w:rPr>
  </w:style>
  <w:style w:type="paragraph" w:styleId="CommentText">
    <w:name w:val="annotation text"/>
    <w:basedOn w:val="Normal"/>
    <w:link w:val="CommentTextChar"/>
    <w:uiPriority w:val="99"/>
    <w:unhideWhenUsed/>
    <w:rsid w:val="00FB5913"/>
  </w:style>
  <w:style w:type="character" w:customStyle="1" w:styleId="CommentTextChar">
    <w:name w:val="Comment Text Char"/>
    <w:basedOn w:val="DefaultParagraphFont"/>
    <w:link w:val="CommentText"/>
    <w:uiPriority w:val="99"/>
    <w:rsid w:val="00FB5913"/>
  </w:style>
  <w:style w:type="paragraph" w:styleId="CommentSubject">
    <w:name w:val="annotation subject"/>
    <w:basedOn w:val="CommentText"/>
    <w:next w:val="CommentText"/>
    <w:link w:val="CommentSubjectChar"/>
    <w:uiPriority w:val="99"/>
    <w:semiHidden/>
    <w:unhideWhenUsed/>
    <w:rsid w:val="00FB5913"/>
    <w:rPr>
      <w:b/>
      <w:bCs/>
      <w:sz w:val="20"/>
      <w:szCs w:val="20"/>
    </w:rPr>
  </w:style>
  <w:style w:type="character" w:customStyle="1" w:styleId="CommentSubjectChar">
    <w:name w:val="Comment Subject Char"/>
    <w:basedOn w:val="CommentTextChar"/>
    <w:link w:val="CommentSubject"/>
    <w:uiPriority w:val="99"/>
    <w:semiHidden/>
    <w:rsid w:val="00FB5913"/>
    <w:rPr>
      <w:b/>
      <w:bCs/>
      <w:sz w:val="20"/>
      <w:szCs w:val="20"/>
    </w:rPr>
  </w:style>
  <w:style w:type="paragraph" w:styleId="BalloonText">
    <w:name w:val="Balloon Text"/>
    <w:basedOn w:val="Normal"/>
    <w:link w:val="BalloonTextChar"/>
    <w:uiPriority w:val="99"/>
    <w:semiHidden/>
    <w:unhideWhenUsed/>
    <w:rsid w:val="00FB59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B5913"/>
    <w:rPr>
      <w:rFonts w:ascii="Lucida Grande" w:hAnsi="Lucida Grande"/>
      <w:sz w:val="18"/>
      <w:szCs w:val="18"/>
    </w:rPr>
  </w:style>
  <w:style w:type="paragraph" w:customStyle="1" w:styleId="Normal1">
    <w:name w:val="Normal1"/>
    <w:basedOn w:val="Normal"/>
    <w:rsid w:val="00C17E73"/>
    <w:pPr>
      <w:spacing w:before="100" w:beforeAutospacing="1" w:after="100" w:afterAutospacing="1"/>
    </w:pPr>
    <w:rPr>
      <w:rFonts w:ascii="Calibri" w:eastAsia="Times New Roman" w:hAnsi="Calibri" w:cs="Times New Roman"/>
    </w:rPr>
  </w:style>
  <w:style w:type="paragraph" w:styleId="ListParagraph">
    <w:name w:val="List Paragraph"/>
    <w:basedOn w:val="Normal"/>
    <w:uiPriority w:val="34"/>
    <w:qFormat/>
    <w:rsid w:val="00B93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5647">
      <w:bodyDiv w:val="1"/>
      <w:marLeft w:val="0"/>
      <w:marRight w:val="0"/>
      <w:marTop w:val="0"/>
      <w:marBottom w:val="0"/>
      <w:divBdr>
        <w:top w:val="none" w:sz="0" w:space="0" w:color="auto"/>
        <w:left w:val="none" w:sz="0" w:space="0" w:color="auto"/>
        <w:bottom w:val="none" w:sz="0" w:space="0" w:color="auto"/>
        <w:right w:val="none" w:sz="0" w:space="0" w:color="auto"/>
      </w:divBdr>
      <w:divsChild>
        <w:div w:id="301427116">
          <w:marLeft w:val="480"/>
          <w:marRight w:val="0"/>
          <w:marTop w:val="0"/>
          <w:marBottom w:val="0"/>
          <w:divBdr>
            <w:top w:val="none" w:sz="0" w:space="0" w:color="auto"/>
            <w:left w:val="none" w:sz="0" w:space="0" w:color="auto"/>
            <w:bottom w:val="none" w:sz="0" w:space="0" w:color="auto"/>
            <w:right w:val="none" w:sz="0" w:space="0" w:color="auto"/>
          </w:divBdr>
          <w:divsChild>
            <w:div w:id="10249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266">
      <w:bodyDiv w:val="1"/>
      <w:marLeft w:val="0"/>
      <w:marRight w:val="0"/>
      <w:marTop w:val="0"/>
      <w:marBottom w:val="0"/>
      <w:divBdr>
        <w:top w:val="none" w:sz="0" w:space="0" w:color="auto"/>
        <w:left w:val="none" w:sz="0" w:space="0" w:color="auto"/>
        <w:bottom w:val="none" w:sz="0" w:space="0" w:color="auto"/>
        <w:right w:val="none" w:sz="0" w:space="0" w:color="auto"/>
      </w:divBdr>
    </w:div>
    <w:div w:id="675112630">
      <w:bodyDiv w:val="1"/>
      <w:marLeft w:val="0"/>
      <w:marRight w:val="0"/>
      <w:marTop w:val="0"/>
      <w:marBottom w:val="0"/>
      <w:divBdr>
        <w:top w:val="none" w:sz="0" w:space="0" w:color="auto"/>
        <w:left w:val="none" w:sz="0" w:space="0" w:color="auto"/>
        <w:bottom w:val="none" w:sz="0" w:space="0" w:color="auto"/>
        <w:right w:val="none" w:sz="0" w:space="0" w:color="auto"/>
      </w:divBdr>
      <w:divsChild>
        <w:div w:id="2099906325">
          <w:marLeft w:val="480"/>
          <w:marRight w:val="0"/>
          <w:marTop w:val="0"/>
          <w:marBottom w:val="0"/>
          <w:divBdr>
            <w:top w:val="none" w:sz="0" w:space="0" w:color="auto"/>
            <w:left w:val="none" w:sz="0" w:space="0" w:color="auto"/>
            <w:bottom w:val="none" w:sz="0" w:space="0" w:color="auto"/>
            <w:right w:val="none" w:sz="0" w:space="0" w:color="auto"/>
          </w:divBdr>
          <w:divsChild>
            <w:div w:id="15944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876">
      <w:bodyDiv w:val="1"/>
      <w:marLeft w:val="0"/>
      <w:marRight w:val="0"/>
      <w:marTop w:val="0"/>
      <w:marBottom w:val="0"/>
      <w:divBdr>
        <w:top w:val="none" w:sz="0" w:space="0" w:color="auto"/>
        <w:left w:val="none" w:sz="0" w:space="0" w:color="auto"/>
        <w:bottom w:val="none" w:sz="0" w:space="0" w:color="auto"/>
        <w:right w:val="none" w:sz="0" w:space="0" w:color="auto"/>
      </w:divBdr>
    </w:div>
    <w:div w:id="8913559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040">
          <w:marLeft w:val="480"/>
          <w:marRight w:val="0"/>
          <w:marTop w:val="0"/>
          <w:marBottom w:val="0"/>
          <w:divBdr>
            <w:top w:val="none" w:sz="0" w:space="0" w:color="auto"/>
            <w:left w:val="none" w:sz="0" w:space="0" w:color="auto"/>
            <w:bottom w:val="none" w:sz="0" w:space="0" w:color="auto"/>
            <w:right w:val="none" w:sz="0" w:space="0" w:color="auto"/>
          </w:divBdr>
          <w:divsChild>
            <w:div w:id="16316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9447">
      <w:bodyDiv w:val="1"/>
      <w:marLeft w:val="0"/>
      <w:marRight w:val="0"/>
      <w:marTop w:val="0"/>
      <w:marBottom w:val="0"/>
      <w:divBdr>
        <w:top w:val="none" w:sz="0" w:space="0" w:color="auto"/>
        <w:left w:val="none" w:sz="0" w:space="0" w:color="auto"/>
        <w:bottom w:val="none" w:sz="0" w:space="0" w:color="auto"/>
        <w:right w:val="none" w:sz="0" w:space="0" w:color="auto"/>
      </w:divBdr>
      <w:divsChild>
        <w:div w:id="1762867719">
          <w:marLeft w:val="480"/>
          <w:marRight w:val="0"/>
          <w:marTop w:val="0"/>
          <w:marBottom w:val="0"/>
          <w:divBdr>
            <w:top w:val="none" w:sz="0" w:space="0" w:color="auto"/>
            <w:left w:val="none" w:sz="0" w:space="0" w:color="auto"/>
            <w:bottom w:val="none" w:sz="0" w:space="0" w:color="auto"/>
            <w:right w:val="none" w:sz="0" w:space="0" w:color="auto"/>
          </w:divBdr>
          <w:divsChild>
            <w:div w:id="2504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590">
      <w:bodyDiv w:val="1"/>
      <w:marLeft w:val="0"/>
      <w:marRight w:val="0"/>
      <w:marTop w:val="0"/>
      <w:marBottom w:val="0"/>
      <w:divBdr>
        <w:top w:val="none" w:sz="0" w:space="0" w:color="auto"/>
        <w:left w:val="none" w:sz="0" w:space="0" w:color="auto"/>
        <w:bottom w:val="none" w:sz="0" w:space="0" w:color="auto"/>
        <w:right w:val="none" w:sz="0" w:space="0" w:color="auto"/>
      </w:divBdr>
      <w:divsChild>
        <w:div w:id="1953051810">
          <w:marLeft w:val="480"/>
          <w:marRight w:val="0"/>
          <w:marTop w:val="0"/>
          <w:marBottom w:val="0"/>
          <w:divBdr>
            <w:top w:val="none" w:sz="0" w:space="0" w:color="auto"/>
            <w:left w:val="none" w:sz="0" w:space="0" w:color="auto"/>
            <w:bottom w:val="none" w:sz="0" w:space="0" w:color="auto"/>
            <w:right w:val="none" w:sz="0" w:space="0" w:color="auto"/>
          </w:divBdr>
          <w:divsChild>
            <w:div w:id="7542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127">
      <w:bodyDiv w:val="1"/>
      <w:marLeft w:val="0"/>
      <w:marRight w:val="0"/>
      <w:marTop w:val="0"/>
      <w:marBottom w:val="0"/>
      <w:divBdr>
        <w:top w:val="none" w:sz="0" w:space="0" w:color="auto"/>
        <w:left w:val="none" w:sz="0" w:space="0" w:color="auto"/>
        <w:bottom w:val="none" w:sz="0" w:space="0" w:color="auto"/>
        <w:right w:val="none" w:sz="0" w:space="0" w:color="auto"/>
      </w:divBdr>
    </w:div>
    <w:div w:id="1553734023">
      <w:bodyDiv w:val="1"/>
      <w:marLeft w:val="0"/>
      <w:marRight w:val="0"/>
      <w:marTop w:val="0"/>
      <w:marBottom w:val="0"/>
      <w:divBdr>
        <w:top w:val="none" w:sz="0" w:space="0" w:color="auto"/>
        <w:left w:val="none" w:sz="0" w:space="0" w:color="auto"/>
        <w:bottom w:val="none" w:sz="0" w:space="0" w:color="auto"/>
        <w:right w:val="none" w:sz="0" w:space="0" w:color="auto"/>
      </w:divBdr>
      <w:divsChild>
        <w:div w:id="1987658369">
          <w:marLeft w:val="480"/>
          <w:marRight w:val="0"/>
          <w:marTop w:val="0"/>
          <w:marBottom w:val="0"/>
          <w:divBdr>
            <w:top w:val="none" w:sz="0" w:space="0" w:color="auto"/>
            <w:left w:val="none" w:sz="0" w:space="0" w:color="auto"/>
            <w:bottom w:val="none" w:sz="0" w:space="0" w:color="auto"/>
            <w:right w:val="none" w:sz="0" w:space="0" w:color="auto"/>
          </w:divBdr>
          <w:divsChild>
            <w:div w:id="16848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3299">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480"/>
          <w:marRight w:val="0"/>
          <w:marTop w:val="0"/>
          <w:marBottom w:val="0"/>
          <w:divBdr>
            <w:top w:val="none" w:sz="0" w:space="0" w:color="auto"/>
            <w:left w:val="none" w:sz="0" w:space="0" w:color="auto"/>
            <w:bottom w:val="none" w:sz="0" w:space="0" w:color="auto"/>
            <w:right w:val="none" w:sz="0" w:space="0" w:color="auto"/>
          </w:divBdr>
          <w:divsChild>
            <w:div w:id="12081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418">
      <w:bodyDiv w:val="1"/>
      <w:marLeft w:val="0"/>
      <w:marRight w:val="0"/>
      <w:marTop w:val="0"/>
      <w:marBottom w:val="0"/>
      <w:divBdr>
        <w:top w:val="none" w:sz="0" w:space="0" w:color="auto"/>
        <w:left w:val="none" w:sz="0" w:space="0" w:color="auto"/>
        <w:bottom w:val="none" w:sz="0" w:space="0" w:color="auto"/>
        <w:right w:val="none" w:sz="0" w:space="0" w:color="auto"/>
      </w:divBdr>
      <w:divsChild>
        <w:div w:id="171453853">
          <w:marLeft w:val="480"/>
          <w:marRight w:val="0"/>
          <w:marTop w:val="0"/>
          <w:marBottom w:val="0"/>
          <w:divBdr>
            <w:top w:val="none" w:sz="0" w:space="0" w:color="auto"/>
            <w:left w:val="none" w:sz="0" w:space="0" w:color="auto"/>
            <w:bottom w:val="none" w:sz="0" w:space="0" w:color="auto"/>
            <w:right w:val="none" w:sz="0" w:space="0" w:color="auto"/>
          </w:divBdr>
          <w:divsChild>
            <w:div w:id="12986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586">
      <w:bodyDiv w:val="1"/>
      <w:marLeft w:val="0"/>
      <w:marRight w:val="0"/>
      <w:marTop w:val="0"/>
      <w:marBottom w:val="0"/>
      <w:divBdr>
        <w:top w:val="none" w:sz="0" w:space="0" w:color="auto"/>
        <w:left w:val="none" w:sz="0" w:space="0" w:color="auto"/>
        <w:bottom w:val="none" w:sz="0" w:space="0" w:color="auto"/>
        <w:right w:val="none" w:sz="0" w:space="0" w:color="auto"/>
      </w:divBdr>
      <w:divsChild>
        <w:div w:id="9188558">
          <w:marLeft w:val="480"/>
          <w:marRight w:val="0"/>
          <w:marTop w:val="0"/>
          <w:marBottom w:val="0"/>
          <w:divBdr>
            <w:top w:val="none" w:sz="0" w:space="0" w:color="auto"/>
            <w:left w:val="none" w:sz="0" w:space="0" w:color="auto"/>
            <w:bottom w:val="none" w:sz="0" w:space="0" w:color="auto"/>
            <w:right w:val="none" w:sz="0" w:space="0" w:color="auto"/>
          </w:divBdr>
          <w:divsChild>
            <w:div w:id="1687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7093">
      <w:bodyDiv w:val="1"/>
      <w:marLeft w:val="0"/>
      <w:marRight w:val="0"/>
      <w:marTop w:val="0"/>
      <w:marBottom w:val="0"/>
      <w:divBdr>
        <w:top w:val="none" w:sz="0" w:space="0" w:color="auto"/>
        <w:left w:val="none" w:sz="0" w:space="0" w:color="auto"/>
        <w:bottom w:val="none" w:sz="0" w:space="0" w:color="auto"/>
        <w:right w:val="none" w:sz="0" w:space="0" w:color="auto"/>
      </w:divBdr>
      <w:divsChild>
        <w:div w:id="108857364">
          <w:marLeft w:val="480"/>
          <w:marRight w:val="0"/>
          <w:marTop w:val="0"/>
          <w:marBottom w:val="0"/>
          <w:divBdr>
            <w:top w:val="none" w:sz="0" w:space="0" w:color="auto"/>
            <w:left w:val="none" w:sz="0" w:space="0" w:color="auto"/>
            <w:bottom w:val="none" w:sz="0" w:space="0" w:color="auto"/>
            <w:right w:val="none" w:sz="0" w:space="0" w:color="auto"/>
          </w:divBdr>
          <w:divsChild>
            <w:div w:id="451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6018">
      <w:bodyDiv w:val="1"/>
      <w:marLeft w:val="0"/>
      <w:marRight w:val="0"/>
      <w:marTop w:val="0"/>
      <w:marBottom w:val="0"/>
      <w:divBdr>
        <w:top w:val="none" w:sz="0" w:space="0" w:color="auto"/>
        <w:left w:val="none" w:sz="0" w:space="0" w:color="auto"/>
        <w:bottom w:val="none" w:sz="0" w:space="0" w:color="auto"/>
        <w:right w:val="none" w:sz="0" w:space="0" w:color="auto"/>
      </w:divBdr>
    </w:div>
    <w:div w:id="2093506506">
      <w:bodyDiv w:val="1"/>
      <w:marLeft w:val="0"/>
      <w:marRight w:val="0"/>
      <w:marTop w:val="0"/>
      <w:marBottom w:val="0"/>
      <w:divBdr>
        <w:top w:val="none" w:sz="0" w:space="0" w:color="auto"/>
        <w:left w:val="none" w:sz="0" w:space="0" w:color="auto"/>
        <w:bottom w:val="none" w:sz="0" w:space="0" w:color="auto"/>
        <w:right w:val="none" w:sz="0" w:space="0" w:color="auto"/>
      </w:divBdr>
    </w:div>
    <w:div w:id="2121871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13808.2017.1383374" TargetMode="External"/><Relationship Id="rId13" Type="http://schemas.openxmlformats.org/officeDocument/2006/relationships/hyperlink" Target="https://open.bu.edu/handle/2144/19583" TargetMode="External"/><Relationship Id="rId18" Type="http://schemas.openxmlformats.org/officeDocument/2006/relationships/hyperlink" Target="https://journals-sagepub-com.ezproxy.wpunj.edu/doi/full/10.1177/02557614198909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s-sagepub-com.ezproxy.wpunj.edu/doi/full/10.1177/0255761419890946" TargetMode="External"/><Relationship Id="rId7" Type="http://schemas.openxmlformats.org/officeDocument/2006/relationships/hyperlink" Target="https://doi.org/10.5406/bulcouresmusedu.210-211.0081" TargetMode="External"/><Relationship Id="rId12" Type="http://schemas.openxmlformats.org/officeDocument/2006/relationships/hyperlink" Target="https://doi.org/10.1177/0022429420967008" TargetMode="External"/><Relationship Id="rId17" Type="http://schemas.openxmlformats.org/officeDocument/2006/relationships/hyperlink" Target="javascript:popRef('fn3-02557614198909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popRef('fn2-0255761419890946')" TargetMode="External"/><Relationship Id="rId20" Type="http://schemas.openxmlformats.org/officeDocument/2006/relationships/hyperlink" Target="https://journals-sagepub-com.ezproxy.wpunj.edu/doi/full/10.1177/0255761419890946" TargetMode="External"/><Relationship Id="rId1" Type="http://schemas.openxmlformats.org/officeDocument/2006/relationships/numbering" Target="numbering.xml"/><Relationship Id="rId6" Type="http://schemas.openxmlformats.org/officeDocument/2006/relationships/hyperlink" Target="https://doi.org/10.1177/8755123315593325" TargetMode="External"/><Relationship Id="rId11" Type="http://schemas.openxmlformats.org/officeDocument/2006/relationships/hyperlink" Target="https://journals-sagepub-com.ezproxy.wpunj.edu/doi/full/10.1177/1321103X19899171" TargetMode="External"/><Relationship Id="rId24" Type="http://schemas.openxmlformats.org/officeDocument/2006/relationships/hyperlink" Target="https://journals-sagepub-com.ezproxy.wpunj.edu/doi/full/10.1177/0255761419859628" TargetMode="External"/><Relationship Id="rId5" Type="http://schemas.openxmlformats.org/officeDocument/2006/relationships/hyperlink" Target="https://doi.org/10.5406/bulcouresmusedu.209.0007" TargetMode="External"/><Relationship Id="rId15" Type="http://schemas.openxmlformats.org/officeDocument/2006/relationships/hyperlink" Target="javascript:popRef('fn1-0255761419890946')" TargetMode="External"/><Relationship Id="rId23" Type="http://schemas.openxmlformats.org/officeDocument/2006/relationships/hyperlink" Target="https://doi.org/10.1177/0255761419859628" TargetMode="External"/><Relationship Id="rId10" Type="http://schemas.openxmlformats.org/officeDocument/2006/relationships/hyperlink" Target="https://doi.org/10.1177/1321103X19899171" TargetMode="External"/><Relationship Id="rId19" Type="http://schemas.openxmlformats.org/officeDocument/2006/relationships/hyperlink" Target="https://journals-sagepub-com.ezproxy.wpunj.edu/doi/full/10.1177/0255761419890946" TargetMode="External"/><Relationship Id="rId4" Type="http://schemas.openxmlformats.org/officeDocument/2006/relationships/webSettings" Target="webSettings.xml"/><Relationship Id="rId9" Type="http://schemas.openxmlformats.org/officeDocument/2006/relationships/hyperlink" Target="https://doi.org/10.1080/14613808.2018.1465031" TargetMode="External"/><Relationship Id="rId14" Type="http://schemas.openxmlformats.org/officeDocument/2006/relationships/hyperlink" Target="https://doi.org/10.1177/0255761419890946" TargetMode="External"/><Relationship Id="rId22" Type="http://schemas.openxmlformats.org/officeDocument/2006/relationships/hyperlink" Target="https://journals-sagepub-com.ezproxy.wpunj.edu/doi/full/10.1177/0255761419890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26</cp:revision>
  <dcterms:created xsi:type="dcterms:W3CDTF">2021-01-06T22:25:00Z</dcterms:created>
  <dcterms:modified xsi:type="dcterms:W3CDTF">2022-02-17T19:34:00Z</dcterms:modified>
</cp:coreProperties>
</file>